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7E" w:rsidRDefault="00B2587E" w:rsidP="006F333D">
      <w:pPr>
        <w:pStyle w:val="02-TtuloPrincipal-CLG"/>
        <w:spacing w:before="240" w:after="120"/>
      </w:pPr>
      <w:r>
        <w:t xml:space="preserve">PROJETO DE LEI DE </w:t>
      </w:r>
      <w:r w:rsidRPr="00EB1D71">
        <w:rPr>
          <w:bCs w:val="0"/>
          <w:szCs w:val="32"/>
        </w:rPr>
        <w:t>CONVERSÃO</w:t>
      </w:r>
      <w:r>
        <w:t xml:space="preserve"> Nº </w:t>
      </w:r>
      <w:r w:rsidR="003909AB">
        <w:t>6</w:t>
      </w:r>
      <w:r>
        <w:t>, DE 201</w:t>
      </w:r>
      <w:r w:rsidR="00D0358B">
        <w:t>9</w:t>
      </w:r>
    </w:p>
    <w:p w:rsidR="00B2587E" w:rsidRPr="00203FEB" w:rsidRDefault="00B2587E" w:rsidP="00833B71">
      <w:pPr>
        <w:pStyle w:val="02-TtuloPrincipal-CLG"/>
        <w:spacing w:after="720"/>
        <w:rPr>
          <w:b w:val="0"/>
          <w:bCs w:val="0"/>
          <w:sz w:val="24"/>
          <w:szCs w:val="24"/>
        </w:rPr>
      </w:pPr>
      <w:r w:rsidRPr="00203FEB">
        <w:rPr>
          <w:b w:val="0"/>
          <w:bCs w:val="0"/>
          <w:sz w:val="24"/>
          <w:szCs w:val="24"/>
        </w:rPr>
        <w:t xml:space="preserve">(Proveniente da Medida Provisória nº </w:t>
      </w:r>
      <w:r w:rsidR="00D0358B">
        <w:rPr>
          <w:b w:val="0"/>
          <w:bCs w:val="0"/>
          <w:sz w:val="24"/>
          <w:szCs w:val="24"/>
        </w:rPr>
        <w:t>863</w:t>
      </w:r>
      <w:r w:rsidRPr="00203FEB">
        <w:rPr>
          <w:b w:val="0"/>
          <w:bCs w:val="0"/>
          <w:sz w:val="24"/>
          <w:szCs w:val="24"/>
        </w:rPr>
        <w:t>, de 20</w:t>
      </w:r>
      <w:r w:rsidR="00D0358B">
        <w:rPr>
          <w:b w:val="0"/>
          <w:bCs w:val="0"/>
          <w:sz w:val="24"/>
          <w:szCs w:val="24"/>
        </w:rPr>
        <w:t>18</w:t>
      </w:r>
      <w:r w:rsidRPr="00203FEB">
        <w:rPr>
          <w:b w:val="0"/>
          <w:bCs w:val="0"/>
          <w:sz w:val="24"/>
          <w:szCs w:val="24"/>
        </w:rPr>
        <w:t>)</w:t>
      </w:r>
    </w:p>
    <w:p w:rsidR="00A96E67" w:rsidRDefault="00A96E67" w:rsidP="00A96E67">
      <w:pPr>
        <w:spacing w:after="960"/>
        <w:ind w:left="3686"/>
        <w:jc w:val="both"/>
        <w:rPr>
          <w:rFonts w:eastAsiaTheme="minorHAnsi" w:cstheme="minorBidi"/>
          <w:sz w:val="22"/>
          <w:szCs w:val="22"/>
          <w:lang w:eastAsia="en-US"/>
        </w:rPr>
      </w:pPr>
      <w:r>
        <w:t>Altera a Lei nº 7.565, de 19 de dezembro de 1986, que dispõe sobre o Código Brasileiro de Aeronáutica, para permitir o investimento estrangeiro na aviação nacional, e instituir uma franquia mínima de bagagens no transporte aéreo.</w:t>
      </w:r>
      <w:bookmarkStart w:id="0" w:name="_GoBack"/>
      <w:bookmarkEnd w:id="0"/>
    </w:p>
    <w:p w:rsidR="00A96E67" w:rsidRDefault="00A96E67" w:rsidP="00A96E67">
      <w:pPr>
        <w:pStyle w:val="04-PargrafodetextoEstudoNotas-CLG"/>
        <w:rPr>
          <w:bCs/>
        </w:rPr>
      </w:pPr>
      <w:r>
        <w:rPr>
          <w:bCs/>
        </w:rPr>
        <w:t>O CONGRESSO NACIONAL decreta:</w:t>
      </w:r>
    </w:p>
    <w:p w:rsidR="00A96E67" w:rsidRDefault="00A96E67" w:rsidP="00A96E67">
      <w:pPr>
        <w:pStyle w:val="04-PargrafodetextoEstudoNotas-CLG"/>
        <w:spacing w:line="240" w:lineRule="auto"/>
      </w:pPr>
      <w:r>
        <w:rPr>
          <w:b/>
        </w:rPr>
        <w:t>Art. 1º </w:t>
      </w:r>
      <w:r>
        <w:t>O § 3º do art. 156 da Lei nº 7.565, de 19 de dezembro de 1986, passa a vigorar com a seguinte redação:</w:t>
      </w:r>
    </w:p>
    <w:p w:rsidR="00A96E67" w:rsidRDefault="00A96E67" w:rsidP="00A96E67">
      <w:pPr>
        <w:pStyle w:val="07-Citaolegal-CLG"/>
      </w:pPr>
      <w:r>
        <w:t>“</w:t>
      </w:r>
      <w:r>
        <w:rPr>
          <w:b/>
        </w:rPr>
        <w:t>Art. 156</w:t>
      </w:r>
      <w:r>
        <w:t>. ........................................................</w:t>
      </w:r>
    </w:p>
    <w:p w:rsidR="00A96E67" w:rsidRDefault="00A96E67" w:rsidP="00A96E67">
      <w:pPr>
        <w:pStyle w:val="07-Citaolegal-CLG"/>
      </w:pPr>
      <w:r>
        <w:t>.........................................................................</w:t>
      </w:r>
    </w:p>
    <w:p w:rsidR="00A96E67" w:rsidRDefault="00A96E67" w:rsidP="00A96E67">
      <w:pPr>
        <w:pStyle w:val="08-Citaolegal-ltimalinha-CLG"/>
      </w:pPr>
      <w:r>
        <w:t xml:space="preserve">§ 3º Voos internacionais operados por empresas brasileiras designadas pelo Estado brasileiro deverão ser operados por tripulantes brasileiros, mediante contrato de trabalho regido pela legislação brasileira, ressalvada a possibilidade de no máximo 1/3 (um terço) de comissários </w:t>
      </w:r>
      <w:proofErr w:type="gramStart"/>
      <w:r>
        <w:t>estrangeiros.”</w:t>
      </w:r>
      <w:proofErr w:type="gramEnd"/>
      <w:r>
        <w:t xml:space="preserve"> (NR)</w:t>
      </w:r>
    </w:p>
    <w:p w:rsidR="00A96E67" w:rsidRDefault="00A96E67" w:rsidP="00A96E67">
      <w:pPr>
        <w:pStyle w:val="04-PargrafodetextoEstudoNotas-CLG"/>
        <w:spacing w:line="240" w:lineRule="auto"/>
      </w:pPr>
      <w:r>
        <w:rPr>
          <w:b/>
        </w:rPr>
        <w:t>Art. 2º</w:t>
      </w:r>
      <w:r>
        <w:t xml:space="preserve"> O art. 181 da Lei nº 7.565, de 19 de dezembro de 1986, passa a vigorar com as seguintes alterações:</w:t>
      </w:r>
    </w:p>
    <w:p w:rsidR="00A96E67" w:rsidRDefault="00A96E67" w:rsidP="00A96E67">
      <w:pPr>
        <w:pStyle w:val="07-Citaolegal-CLG"/>
      </w:pPr>
      <w:r>
        <w:t>“</w:t>
      </w:r>
      <w:r>
        <w:rPr>
          <w:b/>
        </w:rPr>
        <w:t>Art. 181</w:t>
      </w:r>
      <w:r>
        <w:t>. A concessão ou autorização somente será dada à pessoa jurídica brasileira que tiver:</w:t>
      </w:r>
    </w:p>
    <w:p w:rsidR="00A96E67" w:rsidRDefault="00A96E67" w:rsidP="00A96E67">
      <w:pPr>
        <w:pStyle w:val="07-Citaolegal-CLG"/>
      </w:pPr>
      <w:r>
        <w:t>............................................................................</w:t>
      </w:r>
    </w:p>
    <w:p w:rsidR="00A96E67" w:rsidRDefault="00A96E67" w:rsidP="00A96E67">
      <w:pPr>
        <w:pStyle w:val="07-Citaolegal-CLG"/>
      </w:pPr>
      <w:r>
        <w:t xml:space="preserve">§ 5º As exigências contidas nos incisos II e III do </w:t>
      </w:r>
      <w:r>
        <w:rPr>
          <w:i/>
        </w:rPr>
        <w:t>caput</w:t>
      </w:r>
      <w:r>
        <w:t xml:space="preserve"> poderão ser dispensadas caso a pessoa jurídica opere ao menos 5% de seus voos em rotas regionais, definidas na forma do art. 115 da Lei nº 13.097, de 19 de janeiro de 2015, por um prazo mínimo de dois anos a partir da concessão, autorização ou da transferência ou aquisição de ações com direito a voto por estrangeiro em limite superior ao estabelecido no inciso II do </w:t>
      </w:r>
      <w:r>
        <w:rPr>
          <w:i/>
        </w:rPr>
        <w:t>caput</w:t>
      </w:r>
      <w:r>
        <w:t>.</w:t>
      </w:r>
    </w:p>
    <w:p w:rsidR="00A96E67" w:rsidRDefault="00A96E67" w:rsidP="00A96E67">
      <w:pPr>
        <w:pStyle w:val="08-Citaolegal-ltimalinha-CLG"/>
      </w:pPr>
      <w:r>
        <w:t xml:space="preserve">§ 6º Em caso de descumprimento das condições de que trata o § 5º para a dispensa das exigências previstas nos incisos II e III do </w:t>
      </w:r>
      <w:r>
        <w:rPr>
          <w:i/>
        </w:rPr>
        <w:t>caput</w:t>
      </w:r>
      <w:r>
        <w:t xml:space="preserve">, a Autoridade Aeronáutica deverá aplicar multa de R$ 10.000 </w:t>
      </w:r>
      <w:r>
        <w:lastRenderedPageBreak/>
        <w:t xml:space="preserve">(dez mil reais) por voo regional não realizado e, em caso de reincidência, cassar a concessão ou </w:t>
      </w:r>
      <w:proofErr w:type="gramStart"/>
      <w:r>
        <w:t>autorização.”</w:t>
      </w:r>
      <w:proofErr w:type="gramEnd"/>
      <w:r>
        <w:t xml:space="preserve"> (NR)</w:t>
      </w:r>
    </w:p>
    <w:p w:rsidR="00A96E67" w:rsidRDefault="00A96E67" w:rsidP="00A96E67">
      <w:pPr>
        <w:pStyle w:val="04-PargrafodetextoEstudoNotas-CLG"/>
        <w:spacing w:line="240" w:lineRule="auto"/>
      </w:pPr>
      <w:r>
        <w:rPr>
          <w:b/>
        </w:rPr>
        <w:t>Art. 3º</w:t>
      </w:r>
      <w:r>
        <w:t xml:space="preserve"> Ficam incluídos os seguintes </w:t>
      </w:r>
      <w:proofErr w:type="spellStart"/>
      <w:r>
        <w:t>arts</w:t>
      </w:r>
      <w:proofErr w:type="spellEnd"/>
      <w:r>
        <w:t>. 222-A, 222-B e 222-C na Lei nº 7.565, de 19 de dezembro de 1986:</w:t>
      </w:r>
    </w:p>
    <w:p w:rsidR="00A96E67" w:rsidRDefault="00A96E67" w:rsidP="00A96E67">
      <w:pPr>
        <w:pStyle w:val="07-Citaolegal-CLG"/>
      </w:pPr>
      <w:r>
        <w:t>“</w:t>
      </w:r>
      <w:r>
        <w:rPr>
          <w:b/>
        </w:rPr>
        <w:t>Art. 222-A</w:t>
      </w:r>
      <w:r>
        <w:t>. Nas linhas domésticas, a franquia mínima de bagagem por passageiro é de:</w:t>
      </w:r>
    </w:p>
    <w:p w:rsidR="00A96E67" w:rsidRDefault="00A96E67" w:rsidP="00A96E67">
      <w:pPr>
        <w:pStyle w:val="07-Citaolegal-CLG"/>
      </w:pPr>
      <w:r>
        <w:t xml:space="preserve">I – </w:t>
      </w:r>
      <w:proofErr w:type="gramStart"/>
      <w:r>
        <w:t>vinte e três quilos</w:t>
      </w:r>
      <w:proofErr w:type="gramEnd"/>
      <w:r>
        <w:t xml:space="preserve"> nas aeronaves acima de trinta e um assentos;</w:t>
      </w:r>
    </w:p>
    <w:p w:rsidR="00A96E67" w:rsidRDefault="00A96E67" w:rsidP="00A96E67">
      <w:pPr>
        <w:pStyle w:val="07-Citaolegal-CLG"/>
      </w:pPr>
      <w:r>
        <w:t xml:space="preserve">II – </w:t>
      </w:r>
      <w:proofErr w:type="gramStart"/>
      <w:r>
        <w:t>dezoito quilos</w:t>
      </w:r>
      <w:proofErr w:type="gramEnd"/>
      <w:r>
        <w:t xml:space="preserve"> para as aeronaves de vinte e um até trinta assentos; e </w:t>
      </w:r>
    </w:p>
    <w:p w:rsidR="00A96E67" w:rsidRDefault="00A96E67" w:rsidP="00A96E67">
      <w:pPr>
        <w:pStyle w:val="07-Citaolegal-CLG"/>
      </w:pPr>
      <w:r>
        <w:t>III – dez quilos para as aeronaves de até vinte assentos.</w:t>
      </w:r>
    </w:p>
    <w:p w:rsidR="00A96E67" w:rsidRDefault="00A96E67" w:rsidP="00A96E67">
      <w:pPr>
        <w:pStyle w:val="07-Citaolegal-CLG"/>
      </w:pPr>
      <w:r>
        <w:t>§ 1º A franquia de bagagem não pode ser usada para transporte de animais vivos.</w:t>
      </w:r>
    </w:p>
    <w:p w:rsidR="00A96E67" w:rsidRDefault="00A96E67" w:rsidP="00A96E67">
      <w:pPr>
        <w:pStyle w:val="07-Citaolegal-CLG"/>
      </w:pPr>
      <w:r>
        <w:t>§ 2º A soma total do peso das bagagens de passageiros não pode ultrapassar os limites contidos no Manual de Voo da Aeronave.</w:t>
      </w:r>
    </w:p>
    <w:p w:rsidR="00A96E67" w:rsidRDefault="00A96E67" w:rsidP="00A96E67">
      <w:pPr>
        <w:pStyle w:val="08-Citaolegal-ltimalinha-CLG"/>
      </w:pPr>
      <w:r>
        <w:t>§ 3º Em voos com conexão, deverá prevalecer a franquia de bagagem referente à aeronave de menor capacidade.</w:t>
      </w:r>
    </w:p>
    <w:p w:rsidR="00A96E67" w:rsidRDefault="00A96E67" w:rsidP="00A96E67">
      <w:pPr>
        <w:pStyle w:val="08-Citaolegal-ltimalinha-CLG"/>
      </w:pPr>
      <w:r>
        <w:rPr>
          <w:b/>
        </w:rPr>
        <w:t>Art. 222-B</w:t>
      </w:r>
      <w:r>
        <w:t xml:space="preserve">. Nas linhas internacionais, o </w:t>
      </w:r>
      <w:proofErr w:type="spellStart"/>
      <w:r>
        <w:t>franqueamento</w:t>
      </w:r>
      <w:proofErr w:type="spellEnd"/>
      <w:r>
        <w:t xml:space="preserve"> de bagagem será feito pelo sistema de peça ou peso, segundo o critério adotado em cada área e na conformidade com a regulamentação específica.</w:t>
      </w:r>
    </w:p>
    <w:p w:rsidR="00A96E67" w:rsidRDefault="00A96E67" w:rsidP="00A96E67">
      <w:pPr>
        <w:pStyle w:val="08-Citaolegal-ltimalinha-CLG"/>
      </w:pPr>
      <w:r>
        <w:rPr>
          <w:b/>
        </w:rPr>
        <w:t>Art. 222-C</w:t>
      </w:r>
      <w:r>
        <w:t xml:space="preserve">. Nas linhas domésticas em conexão com linhas internacionais, quando conjugados os bilhetes de passagem, prevalecerá o sistema e o correspondente limite de franquia de bagagem estabelecido para as viagens </w:t>
      </w:r>
      <w:proofErr w:type="gramStart"/>
      <w:r>
        <w:t>internacionais.”</w:t>
      </w:r>
      <w:proofErr w:type="gramEnd"/>
    </w:p>
    <w:p w:rsidR="00A96E67" w:rsidRDefault="00A96E67" w:rsidP="00A96E67">
      <w:pPr>
        <w:pStyle w:val="04-PargrafodetextoEstudoNotas-CLG"/>
        <w:spacing w:line="240" w:lineRule="auto"/>
      </w:pPr>
      <w:r>
        <w:rPr>
          <w:b/>
        </w:rPr>
        <w:t>Art. 4º</w:t>
      </w:r>
      <w:r>
        <w:t xml:space="preserve"> Fica revogado o art. 182 da Lei nº 7.565, de 19 de dezembro de 1986.</w:t>
      </w:r>
    </w:p>
    <w:p w:rsidR="006C0CA1" w:rsidRDefault="006C0CA1" w:rsidP="00A96E67">
      <w:pPr>
        <w:pStyle w:val="04-PargrafodetextoEstudoNotas-CLG"/>
        <w:spacing w:line="240" w:lineRule="auto"/>
      </w:pPr>
    </w:p>
    <w:p w:rsidR="006C0CA1" w:rsidRDefault="006C0CA1" w:rsidP="00A96E67">
      <w:pPr>
        <w:pStyle w:val="04-PargrafodetextoEstudoNotas-CLG"/>
        <w:spacing w:line="240" w:lineRule="auto"/>
      </w:pPr>
    </w:p>
    <w:p w:rsidR="006C0CA1" w:rsidRDefault="006C0CA1" w:rsidP="00A96E67">
      <w:pPr>
        <w:pStyle w:val="04-PargrafodetextoEstudoNotas-CLG"/>
        <w:spacing w:line="240" w:lineRule="auto"/>
      </w:pPr>
    </w:p>
    <w:p w:rsidR="006C0CA1" w:rsidRDefault="006C0CA1" w:rsidP="00A96E67">
      <w:pPr>
        <w:pStyle w:val="04-PargrafodetextoEstudoNotas-CLG"/>
        <w:spacing w:line="240" w:lineRule="auto"/>
      </w:pPr>
    </w:p>
    <w:p w:rsidR="00A96E67" w:rsidRDefault="00A96E67" w:rsidP="00A96E67">
      <w:pPr>
        <w:pStyle w:val="04-PargrafodetextoEstudoNotas-CLG"/>
        <w:spacing w:line="240" w:lineRule="auto"/>
        <w:rPr>
          <w:bCs/>
        </w:rPr>
      </w:pPr>
      <w:r>
        <w:rPr>
          <w:b/>
        </w:rPr>
        <w:lastRenderedPageBreak/>
        <w:t>Art. 5º</w:t>
      </w:r>
      <w:r>
        <w:t xml:space="preserve"> Esta Lei entra em vigor na data de sua publicação.</w:t>
      </w:r>
    </w:p>
    <w:p w:rsidR="00D0358B" w:rsidRDefault="00B2587E" w:rsidP="00833B71">
      <w:pPr>
        <w:pStyle w:val="10-Local-CLG"/>
        <w:jc w:val="right"/>
      </w:pPr>
      <w:r>
        <w:t xml:space="preserve">Sala da Comissão, </w:t>
      </w:r>
      <w:r w:rsidR="00286991">
        <w:t>2</w:t>
      </w:r>
      <w:r w:rsidR="008F009C">
        <w:t>5</w:t>
      </w:r>
      <w:r>
        <w:t xml:space="preserve"> de </w:t>
      </w:r>
      <w:r w:rsidR="00D0358B">
        <w:t>abril</w:t>
      </w:r>
      <w:r>
        <w:t xml:space="preserve"> de 20</w:t>
      </w:r>
      <w:r w:rsidR="00D0358B">
        <w:t>19</w:t>
      </w:r>
      <w:r>
        <w:t>.</w:t>
      </w:r>
    </w:p>
    <w:p w:rsidR="00833B71" w:rsidRDefault="00833B71" w:rsidP="00833B71">
      <w:pPr>
        <w:pStyle w:val="10-Local-CLG"/>
        <w:jc w:val="right"/>
      </w:pPr>
    </w:p>
    <w:p w:rsidR="00B2587E" w:rsidRDefault="00B2587E" w:rsidP="001C4376">
      <w:pPr>
        <w:pStyle w:val="10-Local-CLG"/>
        <w:spacing w:before="0" w:after="0"/>
        <w:ind w:firstLine="0"/>
        <w:jc w:val="center"/>
      </w:pPr>
      <w:r>
        <w:t>Deputado</w:t>
      </w:r>
      <w:r w:rsidR="00D0358B">
        <w:t xml:space="preserve"> WELLINGTON ROBER</w:t>
      </w:r>
      <w:r w:rsidR="00833B71">
        <w:t>T</w:t>
      </w:r>
      <w:r w:rsidR="00D0358B">
        <w:t>O</w:t>
      </w:r>
    </w:p>
    <w:p w:rsidR="00B2587E" w:rsidRDefault="00B2587E" w:rsidP="001C4376">
      <w:pPr>
        <w:pStyle w:val="10-Local-CLG"/>
        <w:spacing w:before="0" w:after="0"/>
        <w:ind w:firstLine="0"/>
        <w:jc w:val="center"/>
      </w:pPr>
      <w:r>
        <w:t>Presidente da Comissão</w:t>
      </w:r>
    </w:p>
    <w:p w:rsidR="00C50CCE" w:rsidRDefault="003909AB"/>
    <w:sectPr w:rsidR="00C50CCE" w:rsidSect="006F333D">
      <w:footerReference w:type="default" r:id="rId6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321785"/>
      <w:docPartObj>
        <w:docPartGallery w:val="Page Numbers (Bottom of Page)"/>
        <w:docPartUnique/>
      </w:docPartObj>
    </w:sdtPr>
    <w:sdtEndPr/>
    <w:sdtContent>
      <w:p w:rsidR="006F333D" w:rsidRDefault="006F333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9AB">
          <w:rPr>
            <w:noProof/>
          </w:rPr>
          <w:t>3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7E"/>
    <w:rsid w:val="0000021F"/>
    <w:rsid w:val="001C4376"/>
    <w:rsid w:val="00286991"/>
    <w:rsid w:val="003909AB"/>
    <w:rsid w:val="00433CA4"/>
    <w:rsid w:val="004C14D1"/>
    <w:rsid w:val="006C0CA1"/>
    <w:rsid w:val="006F333D"/>
    <w:rsid w:val="0076160F"/>
    <w:rsid w:val="00833B71"/>
    <w:rsid w:val="008F009C"/>
    <w:rsid w:val="0093302F"/>
    <w:rsid w:val="00A34D75"/>
    <w:rsid w:val="00A96E67"/>
    <w:rsid w:val="00B2587E"/>
    <w:rsid w:val="00C01B98"/>
    <w:rsid w:val="00D0358B"/>
    <w:rsid w:val="00DA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C0851-B0F5-4606-8D27-293848C9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qFormat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qFormat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qFormat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qFormat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33B7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3B71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04-PargrafodetextoEstudoNotas-CLG">
    <w:name w:val="04 - Parágrafo de texto Estudo Notas - CLG"/>
    <w:link w:val="04-PargrafodetextoEstudoNotas-CLGChar"/>
    <w:qFormat/>
    <w:rsid w:val="00A96E67"/>
    <w:pPr>
      <w:spacing w:after="360" w:line="360" w:lineRule="auto"/>
      <w:ind w:firstLine="1418"/>
      <w:jc w:val="both"/>
    </w:pPr>
    <w:rPr>
      <w:rFonts w:ascii="Times New Roman" w:eastAsia="Times New Roman" w:hAnsi="Times New Roman" w:cs="Times New Roman"/>
      <w:sz w:val="28"/>
      <w:lang w:eastAsia="pt-BR"/>
    </w:rPr>
  </w:style>
  <w:style w:type="character" w:customStyle="1" w:styleId="04-PargrafodetextoEstudoNotas-CLGChar">
    <w:name w:val="04 - Parágrafo de texto Estudo Notas - CLG Char"/>
    <w:link w:val="04-PargrafodetextoEstudoNotas-CLG"/>
    <w:rsid w:val="00A96E67"/>
    <w:rPr>
      <w:rFonts w:ascii="Times New Roman" w:eastAsia="Times New Roman" w:hAnsi="Times New Roman" w:cs="Times New Roman"/>
      <w:sz w:val="28"/>
      <w:lang w:eastAsia="pt-BR"/>
    </w:rPr>
  </w:style>
  <w:style w:type="paragraph" w:customStyle="1" w:styleId="07-Citaolegal-CLG">
    <w:name w:val="07 - Citação legal - CLG"/>
    <w:qFormat/>
    <w:rsid w:val="00A96E67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516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3297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Kiwa Scarton Hayashi</dc:creator>
  <cp:keywords/>
  <dc:description/>
  <cp:lastModifiedBy>Carolina Freitas Mendonça</cp:lastModifiedBy>
  <cp:revision>18</cp:revision>
  <cp:lastPrinted>2019-04-25T15:19:00Z</cp:lastPrinted>
  <dcterms:created xsi:type="dcterms:W3CDTF">2016-06-07T18:12:00Z</dcterms:created>
  <dcterms:modified xsi:type="dcterms:W3CDTF">2019-04-25T16:05:00Z</dcterms:modified>
</cp:coreProperties>
</file>