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D84" w:rsidRDefault="008856D1" w:rsidP="002C2D84">
      <w:pPr>
        <w:pStyle w:val="01-Minuta-CLG"/>
      </w:pPr>
      <w:r>
        <w:t xml:space="preserve"> </w:t>
      </w:r>
    </w:p>
    <w:p w:rsidR="002C2D84" w:rsidRDefault="00FD2A4D" w:rsidP="002C2D84">
      <w:pPr>
        <w:pStyle w:val="02-TtuloPrincipal-CLG"/>
      </w:pPr>
      <w:r>
        <w:t xml:space="preserve">PARECER Nº     </w:t>
      </w:r>
      <w:proofErr w:type="gramStart"/>
      <w:r>
        <w:t xml:space="preserve">  ,</w:t>
      </w:r>
      <w:proofErr w:type="gramEnd"/>
      <w:r>
        <w:t xml:space="preserve"> DE 201</w:t>
      </w:r>
      <w:r w:rsidR="00586ADD">
        <w:t>6</w:t>
      </w:r>
    </w:p>
    <w:p w:rsidR="002C2D84" w:rsidRPr="0062260D" w:rsidRDefault="002C2D84" w:rsidP="002C2D84">
      <w:pPr>
        <w:pStyle w:val="03-Ementa-CLG"/>
      </w:pPr>
      <w:bookmarkStart w:id="0" w:name="sigla_comissao"/>
      <w:bookmarkStart w:id="1" w:name="nome_comissao"/>
      <w:r>
        <w:t>Da COMISSÃO</w:t>
      </w:r>
      <w:bookmarkEnd w:id="0"/>
      <w:r>
        <w:t xml:space="preserve"> </w:t>
      </w:r>
      <w:bookmarkEnd w:id="1"/>
      <w:r>
        <w:t xml:space="preserve">DE CONSTITUIÇÃO, JUSTIÇA E CIDADANIA, sobre </w:t>
      </w:r>
      <w:r w:rsidR="0062260D">
        <w:t xml:space="preserve">o Projeto de Lei da Câmara nº 8, de 2013, </w:t>
      </w:r>
      <w:r w:rsidR="00121B08">
        <w:t xml:space="preserve">do Deputado Esperidião Amin, </w:t>
      </w:r>
      <w:r w:rsidR="0062260D">
        <w:t xml:space="preserve">que </w:t>
      </w:r>
      <w:r w:rsidR="0062260D" w:rsidRPr="0062260D">
        <w:rPr>
          <w:i/>
        </w:rPr>
        <w:t>altera a Lei nº 9.277, de 10 de maio de 1996, para dispor sobre a isenção de cobrança de pedágio</w:t>
      </w:r>
      <w:r w:rsidR="0062260D">
        <w:t>.</w:t>
      </w:r>
    </w:p>
    <w:p w:rsidR="002C2D84" w:rsidRDefault="002C2D84" w:rsidP="002C2D84">
      <w:pPr>
        <w:pStyle w:val="04-Relatoria-CLG"/>
      </w:pPr>
      <w:r>
        <w:t xml:space="preserve">RELATOR: Senador </w:t>
      </w:r>
      <w:r w:rsidR="00121B08">
        <w:rPr>
          <w:b/>
          <w:caps/>
        </w:rPr>
        <w:t>BENEDITO DE LIRA</w:t>
      </w:r>
      <w:r>
        <w:t xml:space="preserve"> </w:t>
      </w:r>
    </w:p>
    <w:p w:rsidR="00A128F6" w:rsidRDefault="00A128F6" w:rsidP="002C2D84">
      <w:pPr>
        <w:pStyle w:val="05-Subttulo-CLG"/>
      </w:pPr>
    </w:p>
    <w:p w:rsidR="002C2D84" w:rsidRDefault="002C2D84" w:rsidP="002C2D84">
      <w:pPr>
        <w:pStyle w:val="05-Subttulo-CLG"/>
      </w:pPr>
      <w:r>
        <w:t>I – RELATÓRIO</w:t>
      </w:r>
    </w:p>
    <w:p w:rsidR="002C2D84" w:rsidRDefault="00317B2F" w:rsidP="002C2D84">
      <w:pPr>
        <w:pStyle w:val="06-Pargrafodetexto-CLG"/>
      </w:pPr>
      <w:r>
        <w:t xml:space="preserve">Vem à análise desta Comissão de Constituição, Justiça e Cidadania (CCJ), o Projeto de Lei da Câmara (PLC) nº 8, de 2013, </w:t>
      </w:r>
      <w:r w:rsidRPr="00317B2F">
        <w:t>que altera a Lei nº 9.277, de 10 de maio de 1996, para dispor sobre a</w:t>
      </w:r>
      <w:r>
        <w:t xml:space="preserve"> isenção de cobrança de pedágio.</w:t>
      </w:r>
    </w:p>
    <w:p w:rsidR="00317B2F" w:rsidRDefault="00317B2F" w:rsidP="002C2D84">
      <w:pPr>
        <w:pStyle w:val="06-Pargrafodetexto-CLG"/>
      </w:pPr>
      <w:r>
        <w:t xml:space="preserve">O PLC insere na Lei nº 9.277, de 1996, um art. 4º-A, cujo </w:t>
      </w:r>
      <w:r>
        <w:rPr>
          <w:i/>
        </w:rPr>
        <w:t>caput</w:t>
      </w:r>
      <w:r>
        <w:t xml:space="preserve"> isenta do pagamento de tarifa de pedágio o veículo cujo proprietário possua residência permanente ou exerça atividade profissional permanente no Município em que esteja localizada</w:t>
      </w:r>
      <w:r w:rsidR="00812043">
        <w:t xml:space="preserve"> a</w:t>
      </w:r>
      <w:r>
        <w:t xml:space="preserve"> praça de cobrança de pedágio. </w:t>
      </w:r>
    </w:p>
    <w:p w:rsidR="00317B2F" w:rsidRDefault="00317B2F" w:rsidP="002C2D84">
      <w:pPr>
        <w:pStyle w:val="06-Pargrafodetexto-CLG"/>
      </w:pPr>
      <w:r>
        <w:t>Os §§ 1º e 2º do art. 4º-A remetem ao regulamento a especificação do procedimento para se conseguir a isenção, que ficará condicionada ao cadastramento periódico dos proprietários dos veículos.</w:t>
      </w:r>
    </w:p>
    <w:p w:rsidR="00317B2F" w:rsidRDefault="00317B2F" w:rsidP="002C2D84">
      <w:pPr>
        <w:pStyle w:val="06-Pargrafodetexto-CLG"/>
      </w:pPr>
      <w:r>
        <w:t xml:space="preserve">Já os demais parágrafos </w:t>
      </w:r>
      <w:r w:rsidR="00917463">
        <w:t xml:space="preserve">dispõem sobre o reequilíbrio econômico-financeiro do contrato, caso a exploração da rodovia tenha sido </w:t>
      </w:r>
      <w:r w:rsidR="00917463">
        <w:lastRenderedPageBreak/>
        <w:t>concedida. Nesse caso, o concessionário poderá reclamar o reajuste da tarifa, o que será decidido pelo poder concedente.</w:t>
      </w:r>
    </w:p>
    <w:p w:rsidR="00917463" w:rsidRDefault="00D754A7" w:rsidP="002C2D84">
      <w:pPr>
        <w:pStyle w:val="06-Pargrafodetexto-CLG"/>
      </w:pPr>
      <w:r>
        <w:t>O</w:t>
      </w:r>
      <w:r w:rsidR="00917463">
        <w:t xml:space="preserve"> art. 3º do PLC determina que, a partir da entrada em vigor da nova Lei, o reajuste será realizado automaticamente no primeiro dia do ano seguinte, de modo a cobrir o percentual de isenções concedidas em relação ao total de veículos do ano anterior. O cálculo, a partir daí, será refeito a cada ano, ou a critério do concessionário, em acordo celebrado com o poder concedente.</w:t>
      </w:r>
    </w:p>
    <w:p w:rsidR="00917463" w:rsidRDefault="00917463" w:rsidP="00917463">
      <w:pPr>
        <w:pStyle w:val="06-Pargrafodetexto-CLG"/>
      </w:pPr>
      <w:r>
        <w:t xml:space="preserve">O </w:t>
      </w:r>
      <w:r w:rsidR="0062260D">
        <w:t>P</w:t>
      </w:r>
      <w:r>
        <w:t>LC obteve, na Câmara dos Deputados, parecer favorável em todas as comissões pelas quais tramitou, a saber: Comissão de Viação e Transportes, Comissão de Finanças e Tributação e Comissão de Constituição e Justiça e de Cidadania.</w:t>
      </w:r>
    </w:p>
    <w:p w:rsidR="00917463" w:rsidRDefault="00917463" w:rsidP="00917463">
      <w:pPr>
        <w:pStyle w:val="06-Pargrafodetexto-CLG"/>
      </w:pPr>
      <w:r>
        <w:t xml:space="preserve">Aprovado na </w:t>
      </w:r>
      <w:r w:rsidR="00121B08">
        <w:t>casa iniciadora</w:t>
      </w:r>
      <w:r>
        <w:t xml:space="preserve">, foi remetido ao Senado Federal, nos termos do art. 65, </w:t>
      </w:r>
      <w:r w:rsidRPr="00917463">
        <w:rPr>
          <w:i/>
        </w:rPr>
        <w:t>caput</w:t>
      </w:r>
      <w:r>
        <w:t>, da Constituição Federal (CF), e distribuído à CCJ e às Comissões de Serviços de Infraestrutura (CI) e de Assuntos Econômicos (CAE).</w:t>
      </w:r>
    </w:p>
    <w:p w:rsidR="00917463" w:rsidRPr="003311AC" w:rsidRDefault="00917463" w:rsidP="00917463">
      <w:pPr>
        <w:pStyle w:val="06-Pargrafodetexto-CLG"/>
      </w:pPr>
      <w:r>
        <w:t xml:space="preserve">Na CCJ, foram apresentadas duas emendas, ambas de autoria do Senador Eduardo Suplicy, que visam a ampliar a isenção, atingindo, também, </w:t>
      </w:r>
      <w:r w:rsidRPr="00917463">
        <w:t xml:space="preserve">pessoas </w:t>
      </w:r>
      <w:r>
        <w:t>matriculadas</w:t>
      </w:r>
      <w:r w:rsidRPr="00917463">
        <w:t xml:space="preserve"> em cursos de instituição de ensino superior</w:t>
      </w:r>
      <w:r>
        <w:t xml:space="preserve"> regular situada</w:t>
      </w:r>
      <w:r w:rsidRPr="00917463">
        <w:t xml:space="preserve"> no Município em que está localizada a praça do pedágio.</w:t>
      </w:r>
    </w:p>
    <w:p w:rsidR="00A128F6" w:rsidRDefault="00A128F6" w:rsidP="002C2D84">
      <w:pPr>
        <w:pStyle w:val="05-Subttulo-CLG"/>
      </w:pPr>
    </w:p>
    <w:p w:rsidR="002C2D84" w:rsidRPr="005523B9" w:rsidRDefault="002C2D84" w:rsidP="002C2D84">
      <w:pPr>
        <w:pStyle w:val="05-Subttulo-CLG"/>
      </w:pPr>
      <w:r w:rsidRPr="005523B9">
        <w:t>II – ANÁLISE</w:t>
      </w:r>
    </w:p>
    <w:p w:rsidR="002C2D84" w:rsidRDefault="00917463" w:rsidP="002C2D84">
      <w:pPr>
        <w:pStyle w:val="06-Pargrafodetexto-CLG"/>
      </w:pPr>
      <w:r>
        <w:t xml:space="preserve">Nos termos do art. 101, I, do Regimento Interno do Senado Federal (RISF), cabe à CCJ opinar sobre a constitucionalidade, juridicidade e </w:t>
      </w:r>
      <w:proofErr w:type="spellStart"/>
      <w:r>
        <w:t>regimentalidade</w:t>
      </w:r>
      <w:proofErr w:type="spellEnd"/>
      <w:r>
        <w:t xml:space="preserve"> da proposição.</w:t>
      </w:r>
    </w:p>
    <w:p w:rsidR="00917463" w:rsidRDefault="0062260D" w:rsidP="002C2D84">
      <w:pPr>
        <w:pStyle w:val="06-Pargrafodetexto-CLG"/>
      </w:pPr>
      <w:r>
        <w:t>Do ponto de vista constitucional, não há qualquer vício que impeça a aprovação do PLC.</w:t>
      </w:r>
    </w:p>
    <w:p w:rsidR="0062260D" w:rsidRDefault="0062260D" w:rsidP="002C2D84">
      <w:pPr>
        <w:pStyle w:val="06-Pargrafodetexto-CLG"/>
      </w:pPr>
      <w:r>
        <w:lastRenderedPageBreak/>
        <w:t xml:space="preserve">Com efeito, a União possui competência para legislar sobre o tema, pois se trata de regulamentar </w:t>
      </w:r>
      <w:r w:rsidRPr="0062260D">
        <w:t>a gestão da cobrança de taxas p</w:t>
      </w:r>
      <w:r>
        <w:t>ela utilização de</w:t>
      </w:r>
      <w:r w:rsidRPr="0062260D">
        <w:t xml:space="preserve"> rodovias </w:t>
      </w:r>
      <w:r w:rsidRPr="0062260D">
        <w:rPr>
          <w:i/>
        </w:rPr>
        <w:t>federais</w:t>
      </w:r>
      <w:r w:rsidRPr="0062260D">
        <w:t xml:space="preserve"> cuja administração é delegada a Estados e Municípios</w:t>
      </w:r>
      <w:r>
        <w:t xml:space="preserve">. Logo, </w:t>
      </w:r>
      <w:r w:rsidRPr="0062260D">
        <w:t xml:space="preserve">a União </w:t>
      </w:r>
      <w:r w:rsidR="00121B08">
        <w:t>é constitucionalmente autorizada a</w:t>
      </w:r>
      <w:r w:rsidRPr="0062260D">
        <w:t xml:space="preserve"> determinar os parâmetros de definição da hipótese de incidência do tributo.</w:t>
      </w:r>
    </w:p>
    <w:p w:rsidR="0062260D" w:rsidRDefault="0062260D" w:rsidP="002C2D84">
      <w:pPr>
        <w:pStyle w:val="06-Pargrafodetexto-CLG"/>
      </w:pPr>
      <w:r>
        <w:t xml:space="preserve">A iniciativa da proposição também não apresenta qualquer nulidade. </w:t>
      </w:r>
      <w:r w:rsidRPr="0062260D">
        <w:t>Com efeito, trata-se de projeto de autoria de parlamentar que busca dar isenção de tributo (taxa).</w:t>
      </w:r>
    </w:p>
    <w:p w:rsidR="0062260D" w:rsidRDefault="0062260D" w:rsidP="002C2D84">
      <w:pPr>
        <w:pStyle w:val="06-Pargrafodetexto-CLG"/>
      </w:pPr>
      <w:r w:rsidRPr="0062260D">
        <w:t>Sobre o tema, a jurisprudência do Supremo Tribunal Federal (STF) reconhece que não existe qualquer vício de iniciativa, uma vez que a propositura de projetos de lei acerca de tributos da Uni</w:t>
      </w:r>
      <w:r>
        <w:t xml:space="preserve">ão não é privativa do Executivo (STF, </w:t>
      </w:r>
      <w:r w:rsidRPr="0062260D">
        <w:t>Pleno, Ação Direta de Inconstitucionalidade nº 724/RS, Relator Ministro Celso de Mello</w:t>
      </w:r>
      <w:r>
        <w:t>)</w:t>
      </w:r>
      <w:r w:rsidRPr="0062260D">
        <w:t>.</w:t>
      </w:r>
    </w:p>
    <w:p w:rsidR="0062260D" w:rsidRDefault="0062260D" w:rsidP="0062260D">
      <w:pPr>
        <w:pStyle w:val="06-Pargrafodetexto-CLG"/>
      </w:pPr>
      <w:r>
        <w:t>Em termos regimentais, a proposição foi encaminhada às comissões competentes para emitir parecer sobre a matéria, e recebeu emendas, perante a CCJ, de forma tempestiva.</w:t>
      </w:r>
    </w:p>
    <w:p w:rsidR="0062260D" w:rsidRDefault="005C2122" w:rsidP="0062260D">
      <w:pPr>
        <w:pStyle w:val="06-Pargrafodetexto-CLG"/>
      </w:pPr>
      <w:r>
        <w:t>Também</w:t>
      </w:r>
      <w:r w:rsidR="0062260D">
        <w:t xml:space="preserve"> não verificamos defeitos de técnica legislativa no projeto, o que permite concluir pela sua constitucionalidade, </w:t>
      </w:r>
      <w:proofErr w:type="spellStart"/>
      <w:r w:rsidR="0062260D">
        <w:t>regimentalidade</w:t>
      </w:r>
      <w:proofErr w:type="spellEnd"/>
      <w:r w:rsidR="0062260D">
        <w:t xml:space="preserve"> e juridicidade.</w:t>
      </w:r>
    </w:p>
    <w:p w:rsidR="005C2122" w:rsidRDefault="005C2122" w:rsidP="0062260D">
      <w:pPr>
        <w:pStyle w:val="06-Pargrafodetexto-CLG"/>
      </w:pPr>
      <w:r>
        <w:t>Quanto ao mérito, consideramos que o projeto é conveniente e oportuno, trazendo imbuída em sua justificativa uma preocupação de justiça social – qual seja, a de evitar que as pessoas residentes no Município que sedia a praça de pedágio sejam penalizadas por esse fato.</w:t>
      </w:r>
    </w:p>
    <w:p w:rsidR="007F0A15" w:rsidRPr="00433B79" w:rsidRDefault="0062260D" w:rsidP="0062260D">
      <w:pPr>
        <w:pStyle w:val="06-Pargrafodetexto-CLG"/>
      </w:pPr>
      <w:r>
        <w:t xml:space="preserve">No tocante às emendas apresentadas, embora </w:t>
      </w:r>
      <w:r w:rsidR="005226B0">
        <w:t xml:space="preserve">carregadas </w:t>
      </w:r>
      <w:r>
        <w:t>de intenção mais do que nobre, consideramos que devem ser rejeitadas. Realmente, a ampliação da regra de isenção previst</w:t>
      </w:r>
      <w:r w:rsidR="005226B0">
        <w:t>a</w:t>
      </w:r>
      <w:r>
        <w:t xml:space="preserve"> no PLC não foi acompanhada de análise sobre o eventual impacto </w:t>
      </w:r>
      <w:r w:rsidR="005226B0">
        <w:t>na</w:t>
      </w:r>
      <w:r>
        <w:t xml:space="preserve"> revisão da tarifa. Nesse contexto, a ampliação da incidência da hipótese de isenção poderia se tornar contraproducente, por elevar demasiadamente a tarifa de pedágio, principalmente em Municípios que sejam polos universitários.</w:t>
      </w:r>
    </w:p>
    <w:p w:rsidR="00A128F6" w:rsidRDefault="00A128F6" w:rsidP="002C2D84">
      <w:pPr>
        <w:pStyle w:val="05-Subttulo-CLG"/>
      </w:pPr>
    </w:p>
    <w:p w:rsidR="002C2D84" w:rsidRDefault="002C2D84" w:rsidP="002C2D84">
      <w:pPr>
        <w:pStyle w:val="05-Subttulo-CLG"/>
      </w:pPr>
      <w:r>
        <w:t>III – VOTO</w:t>
      </w:r>
    </w:p>
    <w:p w:rsidR="002C2D84" w:rsidRDefault="0062260D" w:rsidP="002C2D84">
      <w:pPr>
        <w:pStyle w:val="06-Pargrafodetexto-CLG"/>
      </w:pPr>
      <w:r>
        <w:t xml:space="preserve">Por todo o exposto, </w:t>
      </w:r>
      <w:r w:rsidR="00C608E1">
        <w:t>em razão</w:t>
      </w:r>
      <w:r>
        <w:t xml:space="preserve"> </w:t>
      </w:r>
      <w:r w:rsidR="00C608E1">
        <w:t>d</w:t>
      </w:r>
      <w:r>
        <w:t>a consti</w:t>
      </w:r>
      <w:r w:rsidR="00C608E1">
        <w:t xml:space="preserve">tucionalidade, </w:t>
      </w:r>
      <w:proofErr w:type="spellStart"/>
      <w:r w:rsidR="00C608E1">
        <w:t>regimentalidade</w:t>
      </w:r>
      <w:proofErr w:type="spellEnd"/>
      <w:r w:rsidR="00C608E1">
        <w:t>,</w:t>
      </w:r>
      <w:r>
        <w:t xml:space="preserve"> juridicidade do PLC nº 8, de 2013, </w:t>
      </w:r>
      <w:r w:rsidR="00C608E1">
        <w:t>votamos pela sua aprovação</w:t>
      </w:r>
      <w:r w:rsidR="005C2122">
        <w:t xml:space="preserve">, </w:t>
      </w:r>
      <w:r>
        <w:t>e pela rejeição das Emendas nº 1 e 2-CCJ.</w:t>
      </w:r>
    </w:p>
    <w:p w:rsidR="002C2D84" w:rsidRDefault="002C2D84" w:rsidP="002C2D84">
      <w:pPr>
        <w:pStyle w:val="10-Local-CLG"/>
      </w:pPr>
      <w:r>
        <w:t>Sala da Comissão,</w:t>
      </w:r>
      <w:r w:rsidR="00586ADD">
        <w:t xml:space="preserve"> 13 de abril de 2016.</w:t>
      </w:r>
      <w:bookmarkStart w:id="2" w:name="_GoBack"/>
      <w:bookmarkEnd w:id="2"/>
    </w:p>
    <w:p w:rsidR="002C2D84" w:rsidRPr="00724990" w:rsidRDefault="00586ADD" w:rsidP="00586ADD">
      <w:pPr>
        <w:pStyle w:val="11-Assinaturas-CLG"/>
        <w:ind w:hanging="4539"/>
        <w:jc w:val="right"/>
      </w:pPr>
      <w:r>
        <w:t>Senador JOSÉ MARANHÃO</w:t>
      </w:r>
      <w:r w:rsidR="002C2D84">
        <w:t>, Presidente</w:t>
      </w:r>
    </w:p>
    <w:p w:rsidR="00645A91" w:rsidRPr="002C2D84" w:rsidRDefault="00586ADD" w:rsidP="00586ADD">
      <w:pPr>
        <w:pStyle w:val="11-Assinaturas-CLG"/>
        <w:ind w:hanging="4539"/>
        <w:jc w:val="right"/>
      </w:pPr>
      <w:r>
        <w:t>Senador BENEDITO DE LIRA</w:t>
      </w:r>
      <w:r w:rsidR="002C2D84">
        <w:t>, Relator</w:t>
      </w:r>
    </w:p>
    <w:sectPr w:rsidR="00645A91" w:rsidRPr="002C2D84" w:rsidSect="00A128F6">
      <w:headerReference w:type="even" r:id="rId6"/>
      <w:headerReference w:type="default" r:id="rId7"/>
      <w:footerReference w:type="first" r:id="rId8"/>
      <w:pgSz w:w="11906" w:h="16838"/>
      <w:pgMar w:top="2835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A7E" w:rsidRDefault="00020A7E" w:rsidP="002C2D84">
      <w:pPr>
        <w:spacing w:after="0" w:line="240" w:lineRule="auto"/>
      </w:pPr>
      <w:r>
        <w:separator/>
      </w:r>
    </w:p>
  </w:endnote>
  <w:endnote w:type="continuationSeparator" w:id="0">
    <w:p w:rsidR="00020A7E" w:rsidRDefault="00020A7E" w:rsidP="002C2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6B0" w:rsidRPr="00342E7D" w:rsidRDefault="005226B0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A7E" w:rsidRDefault="00020A7E" w:rsidP="002C2D84">
      <w:pPr>
        <w:spacing w:after="0" w:line="240" w:lineRule="auto"/>
      </w:pPr>
      <w:r>
        <w:separator/>
      </w:r>
    </w:p>
  </w:footnote>
  <w:footnote w:type="continuationSeparator" w:id="0">
    <w:p w:rsidR="00020A7E" w:rsidRDefault="00020A7E" w:rsidP="002C2D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6B0" w:rsidRDefault="005226B0" w:rsidP="002C2D8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226B0" w:rsidRDefault="005226B0">
    <w:pPr>
      <w:pStyle w:val="Cabealho"/>
      <w:ind w:right="360"/>
    </w:pPr>
  </w:p>
  <w:p w:rsidR="005226B0" w:rsidRDefault="005226B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6B0" w:rsidRDefault="005226B0" w:rsidP="002C2D8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6AD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226B0" w:rsidRDefault="005226B0">
    <w:pPr>
      <w:pStyle w:val="Cabealho"/>
      <w:ind w:right="360"/>
    </w:pPr>
  </w:p>
  <w:p w:rsidR="005226B0" w:rsidRDefault="005226B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D84"/>
    <w:rsid w:val="00020A7E"/>
    <w:rsid w:val="00043B9C"/>
    <w:rsid w:val="00054D1B"/>
    <w:rsid w:val="00121B08"/>
    <w:rsid w:val="001F6B76"/>
    <w:rsid w:val="00210EAC"/>
    <w:rsid w:val="00266D26"/>
    <w:rsid w:val="002C2D84"/>
    <w:rsid w:val="00317B2F"/>
    <w:rsid w:val="00340BF1"/>
    <w:rsid w:val="005226B0"/>
    <w:rsid w:val="00586ADD"/>
    <w:rsid w:val="005C2122"/>
    <w:rsid w:val="005D3CE0"/>
    <w:rsid w:val="00612426"/>
    <w:rsid w:val="0062260D"/>
    <w:rsid w:val="00645A91"/>
    <w:rsid w:val="006B3E58"/>
    <w:rsid w:val="00713AED"/>
    <w:rsid w:val="007469B9"/>
    <w:rsid w:val="00762EF2"/>
    <w:rsid w:val="007F0A15"/>
    <w:rsid w:val="008053D4"/>
    <w:rsid w:val="00812043"/>
    <w:rsid w:val="008856D1"/>
    <w:rsid w:val="00917463"/>
    <w:rsid w:val="00A128F6"/>
    <w:rsid w:val="00B00EF2"/>
    <w:rsid w:val="00B6781C"/>
    <w:rsid w:val="00B84E91"/>
    <w:rsid w:val="00BD0D1A"/>
    <w:rsid w:val="00C608E1"/>
    <w:rsid w:val="00CA5FBD"/>
    <w:rsid w:val="00D754A7"/>
    <w:rsid w:val="00DD0DD9"/>
    <w:rsid w:val="00E52E68"/>
    <w:rsid w:val="00ED18BA"/>
    <w:rsid w:val="00F251A7"/>
    <w:rsid w:val="00F82F3F"/>
    <w:rsid w:val="00FC0CCB"/>
    <w:rsid w:val="00FD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F7535A-B88F-4ECF-A6EE-C1D57E66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A9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2C2D84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link w:val="Cabealho"/>
    <w:semiHidden/>
    <w:rsid w:val="002C2D8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2C2D84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link w:val="Rodap"/>
    <w:semiHidden/>
    <w:rsid w:val="002C2D8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2C2D84"/>
  </w:style>
  <w:style w:type="paragraph" w:customStyle="1" w:styleId="01-Minuta-CLG">
    <w:name w:val="01 - Minuta - CLG"/>
    <w:link w:val="01-Minuta-CLGChar"/>
    <w:rsid w:val="002C2D84"/>
    <w:pPr>
      <w:spacing w:after="180"/>
      <w:jc w:val="center"/>
    </w:pPr>
    <w:rPr>
      <w:rFonts w:ascii="Times New Roman" w:eastAsia="Times New Roman" w:hAnsi="Times New Roman"/>
      <w:sz w:val="24"/>
    </w:rPr>
  </w:style>
  <w:style w:type="paragraph" w:customStyle="1" w:styleId="02-TtuloPrincipal-CLG">
    <w:name w:val="02 - Título Principal - CLG"/>
    <w:link w:val="02-TtuloPrincipal-CLGChar"/>
    <w:rsid w:val="002C2D84"/>
    <w:pPr>
      <w:spacing w:after="960"/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Ementa-CLG">
    <w:name w:val="03 - Ementa - CLG"/>
    <w:link w:val="03-Ementa-CLGCharChar"/>
    <w:rsid w:val="002C2D84"/>
    <w:pPr>
      <w:spacing w:after="960"/>
      <w:ind w:left="3686"/>
      <w:jc w:val="both"/>
    </w:pPr>
    <w:rPr>
      <w:rFonts w:ascii="Times New Roman" w:eastAsia="Arial Unicode MS" w:hAnsi="Times New Roman"/>
      <w:sz w:val="24"/>
      <w:szCs w:val="24"/>
    </w:rPr>
  </w:style>
  <w:style w:type="character" w:customStyle="1" w:styleId="03-Ementa-CLGCharChar">
    <w:name w:val="03 - Ementa - CLG Char Char"/>
    <w:link w:val="03-Ementa-CLG"/>
    <w:rsid w:val="002C2D84"/>
    <w:rPr>
      <w:rFonts w:ascii="Times New Roman" w:eastAsia="Arial Unicode MS" w:hAnsi="Times New Roman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2C2D84"/>
    <w:pPr>
      <w:spacing w:after="960"/>
      <w:ind w:left="1440"/>
    </w:pPr>
    <w:rPr>
      <w:rFonts w:ascii="Times New Roman" w:eastAsia="Times New Roman" w:hAnsi="Times New Roman"/>
      <w:sz w:val="28"/>
    </w:rPr>
  </w:style>
  <w:style w:type="paragraph" w:customStyle="1" w:styleId="05-Subttulo-CLG">
    <w:name w:val="05 - Subtítulo - CLG"/>
    <w:link w:val="05-Subttulo-CLGChar"/>
    <w:rsid w:val="002C2D84"/>
    <w:pPr>
      <w:spacing w:after="480"/>
      <w:jc w:val="both"/>
    </w:pPr>
    <w:rPr>
      <w:rFonts w:ascii="Times New Roman" w:eastAsia="Times New Roman" w:hAnsi="Times New Roman"/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2C2D84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1-Minuta-CLGChar">
    <w:name w:val="01 - Minuta - CLG Char"/>
    <w:link w:val="01-Minuta-CLG"/>
    <w:rsid w:val="002C2D84"/>
    <w:rPr>
      <w:rFonts w:ascii="Times New Roman" w:eastAsia="Times New Roman" w:hAnsi="Times New Roman"/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2C2D84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paragraph" w:customStyle="1" w:styleId="11-Assinaturas-CLG">
    <w:name w:val="11 - Assinaturas - CLG"/>
    <w:link w:val="11-Assinaturas-CLGChar"/>
    <w:rsid w:val="002C2D84"/>
    <w:pPr>
      <w:spacing w:after="960"/>
      <w:ind w:left="6240"/>
      <w:jc w:val="both"/>
    </w:pPr>
    <w:rPr>
      <w:rFonts w:ascii="Times New Roman" w:eastAsia="Times New Roman" w:hAnsi="Times New Roman"/>
      <w:sz w:val="28"/>
    </w:rPr>
  </w:style>
  <w:style w:type="character" w:customStyle="1" w:styleId="02-TtuloPrincipal-CLGChar">
    <w:name w:val="02 - Título Principal - CLG Char"/>
    <w:link w:val="02-TtuloPrincipal-CLG"/>
    <w:rsid w:val="002C2D84"/>
    <w:rPr>
      <w:rFonts w:ascii="Times New Roman" w:eastAsia="Times New Roman" w:hAnsi="Times New Roman"/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link w:val="04-Relatoria-CLG"/>
    <w:rsid w:val="002C2D84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05-Subttulo-CLGChar">
    <w:name w:val="05 - Subtítulo - CLG Char"/>
    <w:link w:val="05-Subttulo-CLG"/>
    <w:rsid w:val="002C2D84"/>
    <w:rPr>
      <w:rFonts w:ascii="Times New Roman" w:eastAsia="Times New Roman" w:hAnsi="Times New Roman"/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link w:val="06-Pargrafodetexto-CLG"/>
    <w:rsid w:val="002C2D84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0-Local-CLGChar">
    <w:name w:val="10 - Local - CLG Char"/>
    <w:link w:val="10-Local-CLG"/>
    <w:rsid w:val="002C2D84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1-Assinaturas-CLGChar">
    <w:name w:val="11 - Assinaturas - CLG Char"/>
    <w:link w:val="11-Assinaturas-CLG"/>
    <w:rsid w:val="002C2D84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7-Citaolegal-CLG">
    <w:name w:val="07 - Citação legal - CLG"/>
    <w:uiPriority w:val="99"/>
    <w:rsid w:val="002C2D84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8-Citaolegal-ltimalinha-CLG">
    <w:name w:val="08 - Citação legal - última linha - CLG"/>
    <w:rsid w:val="002C2D84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9-Ttuloemenda-CLG">
    <w:name w:val="09 - Título emenda - CLG"/>
    <w:rsid w:val="002C2D84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</w:rPr>
  </w:style>
  <w:style w:type="paragraph" w:styleId="Textodebalo">
    <w:name w:val="Balloon Text"/>
    <w:basedOn w:val="Normal"/>
    <w:semiHidden/>
    <w:rsid w:val="00812043"/>
    <w:rPr>
      <w:rFonts w:ascii="Tahoma" w:hAnsi="Tahoma" w:cs="Tahoma"/>
      <w:sz w:val="16"/>
      <w:szCs w:val="16"/>
    </w:rPr>
  </w:style>
  <w:style w:type="character" w:customStyle="1" w:styleId="02-TtuloEmenda-CLGChar">
    <w:name w:val="02 - Título Emenda - CLG Char"/>
    <w:link w:val="02-TtuloEmenda-CLG"/>
    <w:rsid w:val="007469B9"/>
    <w:rPr>
      <w:rFonts w:ascii="Times New Roman" w:eastAsia="Times New Roman" w:hAnsi="Times New Roman"/>
      <w:b/>
      <w:bCs/>
      <w:sz w:val="32"/>
      <w:lang w:val="pt-BR" w:eastAsia="pt-BR" w:bidi="ar-SA"/>
    </w:rPr>
  </w:style>
  <w:style w:type="character" w:customStyle="1" w:styleId="03-IdentificaodoEmendado-CLGChar">
    <w:name w:val="03 - Identificação do Emendado - CLG Char"/>
    <w:link w:val="03-IdentificaodoEmendado-CLG"/>
    <w:rsid w:val="007469B9"/>
    <w:rPr>
      <w:rFonts w:ascii="Times New Roman" w:eastAsia="Times New Roman" w:hAnsi="Times New Roman"/>
      <w:sz w:val="24"/>
      <w:lang w:val="pt-BR" w:eastAsia="pt-BR" w:bidi="ar-SA"/>
    </w:rPr>
  </w:style>
  <w:style w:type="paragraph" w:customStyle="1" w:styleId="02-TtuloEmenda-CLG">
    <w:name w:val="02 - Título Emenda - CLG"/>
    <w:link w:val="02-TtuloEmenda-CLGChar"/>
    <w:rsid w:val="007469B9"/>
    <w:pPr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IdentificaodoEmendado-CLG">
    <w:name w:val="03 - Identificação do Emendado - CLG"/>
    <w:link w:val="03-IdentificaodoEmendado-CLGChar"/>
    <w:rsid w:val="007469B9"/>
    <w:pPr>
      <w:spacing w:after="1440"/>
      <w:jc w:val="center"/>
    </w:pPr>
    <w:rPr>
      <w:rFonts w:ascii="Times New Roman" w:eastAsia="Times New Roman" w:hAnsi="Times New Roman"/>
      <w:sz w:val="24"/>
    </w:rPr>
  </w:style>
  <w:style w:type="paragraph" w:customStyle="1" w:styleId="04-PargrafodeTexto-CLG">
    <w:name w:val="04 - Parágrafo de Texto - CLG"/>
    <w:link w:val="04-PargrafodeTexto-CLGChar"/>
    <w:rsid w:val="007469B9"/>
    <w:pPr>
      <w:ind w:firstLine="1440"/>
      <w:jc w:val="both"/>
    </w:pPr>
    <w:rPr>
      <w:rFonts w:ascii="Times New Roman" w:eastAsia="Times New Roman" w:hAnsi="Times New Roman"/>
      <w:sz w:val="28"/>
    </w:rPr>
  </w:style>
  <w:style w:type="character" w:customStyle="1" w:styleId="04-PargrafodeTexto-CLGChar">
    <w:name w:val="04 - Parágrafo de Texto - CLG Char"/>
    <w:link w:val="04-PargrafodeTexto-CLG"/>
    <w:rsid w:val="007469B9"/>
    <w:rPr>
      <w:rFonts w:ascii="Times New Roman" w:eastAsia="Times New Roman" w:hAnsi="Times New Roman"/>
      <w:sz w:val="28"/>
      <w:lang w:val="pt-BR" w:eastAsia="pt-BR" w:bidi="ar-SA"/>
    </w:rPr>
  </w:style>
  <w:style w:type="character" w:styleId="Refdecomentrio">
    <w:name w:val="annotation reference"/>
    <w:semiHidden/>
    <w:rsid w:val="00D754A7"/>
    <w:rPr>
      <w:sz w:val="16"/>
      <w:szCs w:val="16"/>
    </w:rPr>
  </w:style>
  <w:style w:type="paragraph" w:styleId="Textodecomentrio">
    <w:name w:val="annotation text"/>
    <w:basedOn w:val="Normal"/>
    <w:semiHidden/>
    <w:rsid w:val="00D754A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D754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Senado Federal</Company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JTCFILHO</dc:creator>
  <cp:lastModifiedBy>Caroline de Araújo Ribeiro</cp:lastModifiedBy>
  <cp:revision>3</cp:revision>
  <dcterms:created xsi:type="dcterms:W3CDTF">2016-04-13T16:02:00Z</dcterms:created>
  <dcterms:modified xsi:type="dcterms:W3CDTF">2016-04-13T16:11:00Z</dcterms:modified>
</cp:coreProperties>
</file>