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ECB" w:rsidRDefault="00C218D0" w:rsidP="00A85ECB">
      <w:pPr>
        <w:pStyle w:val="02-TtuloPrincipal-CLG"/>
      </w:pPr>
      <w:r>
        <w:rPr>
          <w:caps/>
        </w:rPr>
        <w:t>Parecer</w:t>
      </w:r>
      <w:r w:rsidR="00A85ECB">
        <w:t xml:space="preserve"> Nº     </w:t>
      </w:r>
      <w:proofErr w:type="gramStart"/>
      <w:r w:rsidR="00A85ECB">
        <w:t xml:space="preserve">  ,</w:t>
      </w:r>
      <w:proofErr w:type="gramEnd"/>
      <w:r w:rsidR="00A85ECB">
        <w:t xml:space="preserve"> DE 2015</w:t>
      </w:r>
    </w:p>
    <w:p w:rsidR="00A85ECB" w:rsidRDefault="0014105D" w:rsidP="00A85ECB">
      <w:pPr>
        <w:pStyle w:val="03-Ementa-CLG"/>
      </w:pPr>
      <w:bookmarkStart w:id="0" w:name="nome_comissao"/>
      <w:bookmarkStart w:id="1" w:name="sigla_comissao"/>
      <w:r w:rsidRPr="008503AD">
        <w:t xml:space="preserve">Da </w:t>
      </w:r>
      <w:bookmarkEnd w:id="0"/>
      <w:bookmarkEnd w:id="1"/>
      <w:r w:rsidRPr="008503AD">
        <w:t xml:space="preserve">COMISSÃO DE MEIO AMBIENTE, DEFESA DO CONSUMIDOR E FISCALIZAÇÃO E CONTROLE, em decisão terminativa, </w:t>
      </w:r>
      <w:r w:rsidR="004252BD" w:rsidRPr="004252BD">
        <w:t>sobre o Projeto de Lei do Senado nº</w:t>
      </w:r>
      <w:r w:rsidR="004252BD">
        <w:t> </w:t>
      </w:r>
      <w:r w:rsidR="004252BD" w:rsidRPr="004252BD">
        <w:t xml:space="preserve">15, de 2013, da Senadora Kátia Abreu, que </w:t>
      </w:r>
      <w:r w:rsidR="004252BD" w:rsidRPr="004252BD">
        <w:rPr>
          <w:i/>
          <w:iCs/>
        </w:rPr>
        <w:t>altera o artigo 3º da Medida Provisória nº 2.186-16, de 23 de agosto de 2001, que r</w:t>
      </w:r>
      <w:r w:rsidR="004252BD" w:rsidRPr="004252BD">
        <w:rPr>
          <w:i/>
        </w:rPr>
        <w:t>egulamenta o inciso II do § 1</w:t>
      </w:r>
      <w:r w:rsidR="004252BD" w:rsidRPr="004252BD">
        <w:rPr>
          <w:i/>
          <w:u w:val="single"/>
          <w:vertAlign w:val="superscript"/>
        </w:rPr>
        <w:t>o</w:t>
      </w:r>
      <w:r w:rsidR="004252BD" w:rsidRPr="004252BD">
        <w:rPr>
          <w:i/>
        </w:rPr>
        <w:t xml:space="preserve"> e o § 4</w:t>
      </w:r>
      <w:r w:rsidR="004252BD" w:rsidRPr="004252BD">
        <w:rPr>
          <w:i/>
          <w:u w:val="single"/>
          <w:vertAlign w:val="superscript"/>
        </w:rPr>
        <w:t>o</w:t>
      </w:r>
      <w:r w:rsidR="004252BD" w:rsidRPr="004252BD">
        <w:rPr>
          <w:i/>
        </w:rPr>
        <w:t xml:space="preserve"> do art. 225 da Constituição, os </w:t>
      </w:r>
      <w:proofErr w:type="spellStart"/>
      <w:r w:rsidR="004252BD" w:rsidRPr="004252BD">
        <w:rPr>
          <w:i/>
        </w:rPr>
        <w:t>arts</w:t>
      </w:r>
      <w:proofErr w:type="spellEnd"/>
      <w:r w:rsidR="004252BD" w:rsidRPr="004252BD">
        <w:rPr>
          <w:i/>
        </w:rPr>
        <w:t>. 1</w:t>
      </w:r>
      <w:r w:rsidR="004252BD" w:rsidRPr="004252BD">
        <w:rPr>
          <w:i/>
          <w:u w:val="single"/>
          <w:vertAlign w:val="superscript"/>
        </w:rPr>
        <w:t>o</w:t>
      </w:r>
      <w:r w:rsidR="004252BD" w:rsidRPr="004252BD">
        <w:rPr>
          <w:i/>
        </w:rPr>
        <w:t>, 8</w:t>
      </w:r>
      <w:r w:rsidR="004252BD" w:rsidRPr="004252BD">
        <w:rPr>
          <w:i/>
          <w:u w:val="single"/>
          <w:vertAlign w:val="superscript"/>
        </w:rPr>
        <w:t>o</w:t>
      </w:r>
      <w:r w:rsidR="004252BD" w:rsidRPr="004252BD">
        <w:rPr>
          <w:i/>
        </w:rPr>
        <w:t>, alínea "j", 10, alínea "c", 15 e 16, alíneas 3 e 4 da Convenção sobre Diversidade Biológica, dispõe sobre o acesso ao patrimônio genético, a proteção e o acesso ao conhecimento tradicional associado, a repartição de benefícios e o acesso à tecnologia e transferência de tecnologia para sua conservação e utilização</w:t>
      </w:r>
      <w:r w:rsidR="00C218D0">
        <w:t>.</w:t>
      </w:r>
    </w:p>
    <w:p w:rsidR="00A85ECB" w:rsidRDefault="00C218D0" w:rsidP="00911A1C">
      <w:pPr>
        <w:pStyle w:val="04-Relatoria-CLG"/>
        <w:spacing w:after="0"/>
        <w:rPr>
          <w:b/>
          <w:caps/>
        </w:rPr>
      </w:pPr>
      <w:r>
        <w:t xml:space="preserve">Relator: Senador </w:t>
      </w:r>
      <w:r w:rsidR="0014105D" w:rsidRPr="0014105D">
        <w:rPr>
          <w:b/>
          <w:caps/>
        </w:rPr>
        <w:t>Jorge Viana</w:t>
      </w:r>
    </w:p>
    <w:p w:rsidR="00911A1C" w:rsidRDefault="00911A1C" w:rsidP="00911A1C">
      <w:pPr>
        <w:pStyle w:val="04-Relatoria-CLG"/>
      </w:pPr>
      <w:r>
        <w:t>Relator</w:t>
      </w:r>
      <w:r>
        <w:t>a ad hoc</w:t>
      </w:r>
      <w:r>
        <w:t>: Senador</w:t>
      </w:r>
      <w:r>
        <w:t>a</w:t>
      </w:r>
      <w:r>
        <w:t xml:space="preserve"> </w:t>
      </w:r>
      <w:r>
        <w:rPr>
          <w:b/>
          <w:caps/>
        </w:rPr>
        <w:t>LÍDICE DA MATA</w:t>
      </w:r>
    </w:p>
    <w:p w:rsidR="00A85ECB" w:rsidRDefault="00A85ECB" w:rsidP="00A85ECB">
      <w:pPr>
        <w:pStyle w:val="05-Subttulo-CLG"/>
      </w:pPr>
      <w:r>
        <w:t>I – RELATÓRIO</w:t>
      </w:r>
    </w:p>
    <w:p w:rsidR="0014105D" w:rsidRPr="0014105D" w:rsidRDefault="0014105D" w:rsidP="0014105D">
      <w:pPr>
        <w:pStyle w:val="06-Pargrafodetexto-CLG"/>
      </w:pPr>
      <w:r w:rsidRPr="0014105D">
        <w:t xml:space="preserve">Submete-se ao exame da Comissão de Meio Ambiente, Defesa do Consumidor e Fiscalização e Controle (CMA), em decisão terminativa, o Projeto de Lei do Senado (PLS) nº </w:t>
      </w:r>
      <w:r w:rsidR="002B1163">
        <w:t>15</w:t>
      </w:r>
      <w:r w:rsidRPr="0014105D">
        <w:t>, de 201</w:t>
      </w:r>
      <w:r>
        <w:t>3</w:t>
      </w:r>
      <w:r w:rsidRPr="0014105D">
        <w:t>. De autoria d</w:t>
      </w:r>
      <w:r w:rsidR="002B1163">
        <w:t>a</w:t>
      </w:r>
      <w:r w:rsidRPr="0014105D">
        <w:t xml:space="preserve"> Senador</w:t>
      </w:r>
      <w:r w:rsidR="002B1163">
        <w:t>a</w:t>
      </w:r>
      <w:r w:rsidRPr="0014105D">
        <w:t xml:space="preserve"> </w:t>
      </w:r>
      <w:r w:rsidR="002B1163">
        <w:t>Kátia Abreu</w:t>
      </w:r>
      <w:r w:rsidRPr="0014105D">
        <w:t xml:space="preserve">, </w:t>
      </w:r>
      <w:r>
        <w:t>a proposição</w:t>
      </w:r>
      <w:r w:rsidRPr="0014105D">
        <w:t xml:space="preserve"> </w:t>
      </w:r>
      <w:r w:rsidR="002B1163" w:rsidRPr="002B1163">
        <w:rPr>
          <w:i/>
          <w:iCs/>
        </w:rPr>
        <w:t>altera o artigo 3º da Medida Provisória nº</w:t>
      </w:r>
      <w:r w:rsidR="002B1163">
        <w:rPr>
          <w:i/>
          <w:iCs/>
        </w:rPr>
        <w:t> </w:t>
      </w:r>
      <w:r w:rsidR="002B1163" w:rsidRPr="002B1163">
        <w:rPr>
          <w:i/>
          <w:iCs/>
        </w:rPr>
        <w:t>2.186-16, de 23 de agosto de 2001, que r</w:t>
      </w:r>
      <w:r w:rsidR="002B1163" w:rsidRPr="002B1163">
        <w:rPr>
          <w:i/>
        </w:rPr>
        <w:t>egulamenta o inciso II do § 1</w:t>
      </w:r>
      <w:r w:rsidR="002B1163" w:rsidRPr="002B1163">
        <w:rPr>
          <w:i/>
          <w:u w:val="single"/>
          <w:vertAlign w:val="superscript"/>
        </w:rPr>
        <w:t>o</w:t>
      </w:r>
      <w:r w:rsidR="002B1163" w:rsidRPr="002B1163">
        <w:rPr>
          <w:i/>
        </w:rPr>
        <w:t xml:space="preserve"> e o § 4</w:t>
      </w:r>
      <w:r w:rsidR="002B1163" w:rsidRPr="002B1163">
        <w:rPr>
          <w:i/>
          <w:u w:val="single"/>
          <w:vertAlign w:val="superscript"/>
        </w:rPr>
        <w:t>o</w:t>
      </w:r>
      <w:r w:rsidR="002B1163" w:rsidRPr="002B1163">
        <w:rPr>
          <w:i/>
        </w:rPr>
        <w:t xml:space="preserve"> do art. 225 da Constituição, os </w:t>
      </w:r>
      <w:proofErr w:type="spellStart"/>
      <w:r w:rsidR="002B1163" w:rsidRPr="002B1163">
        <w:rPr>
          <w:i/>
        </w:rPr>
        <w:t>arts</w:t>
      </w:r>
      <w:proofErr w:type="spellEnd"/>
      <w:r w:rsidR="002B1163" w:rsidRPr="002B1163">
        <w:rPr>
          <w:i/>
        </w:rPr>
        <w:t>. 1</w:t>
      </w:r>
      <w:r w:rsidR="002B1163" w:rsidRPr="002B1163">
        <w:rPr>
          <w:i/>
          <w:u w:val="single"/>
          <w:vertAlign w:val="superscript"/>
        </w:rPr>
        <w:t>o</w:t>
      </w:r>
      <w:r w:rsidR="002B1163" w:rsidRPr="002B1163">
        <w:rPr>
          <w:i/>
        </w:rPr>
        <w:t>, 8</w:t>
      </w:r>
      <w:r w:rsidR="002B1163" w:rsidRPr="002B1163">
        <w:rPr>
          <w:i/>
          <w:u w:val="single"/>
          <w:vertAlign w:val="superscript"/>
        </w:rPr>
        <w:t>o</w:t>
      </w:r>
      <w:r w:rsidR="002B1163" w:rsidRPr="002B1163">
        <w:rPr>
          <w:i/>
        </w:rPr>
        <w:t>, alínea "j", 10, alínea "c", 15 e 16, alíneas 3 e 4 da Convenção sobre Diversidade Biológica, dispõe sobre o acesso ao patrimônio genético, a proteção e o acesso ao conhecimento tradicional associado, a repartição de benefícios e o acesso à tecnologia e transferência de tecnologia para sua conservação e utilização</w:t>
      </w:r>
      <w:r w:rsidRPr="0014105D">
        <w:rPr>
          <w:i/>
        </w:rPr>
        <w:t>.</w:t>
      </w:r>
    </w:p>
    <w:p w:rsidR="009B6314" w:rsidRDefault="0014105D" w:rsidP="009B6314">
      <w:pPr>
        <w:pStyle w:val="06-Pargrafodetexto-CLG"/>
      </w:pPr>
      <w:r w:rsidRPr="0014105D">
        <w:rPr>
          <w:bCs/>
          <w:iCs/>
        </w:rPr>
        <w:lastRenderedPageBreak/>
        <w:t xml:space="preserve">O art. 1º do PLS nº </w:t>
      </w:r>
      <w:r w:rsidR="002B1163">
        <w:rPr>
          <w:bCs/>
          <w:iCs/>
        </w:rPr>
        <w:t>15</w:t>
      </w:r>
      <w:r w:rsidRPr="0014105D">
        <w:rPr>
          <w:bCs/>
          <w:iCs/>
        </w:rPr>
        <w:t>, de 201</w:t>
      </w:r>
      <w:r>
        <w:rPr>
          <w:bCs/>
          <w:iCs/>
        </w:rPr>
        <w:t xml:space="preserve">3, </w:t>
      </w:r>
      <w:r w:rsidR="002B1163">
        <w:t>altera o art. 3</w:t>
      </w:r>
      <w:r w:rsidR="002B1163" w:rsidRPr="002B1163">
        <w:rPr>
          <w:vertAlign w:val="superscript"/>
        </w:rPr>
        <w:t>o</w:t>
      </w:r>
      <w:r w:rsidR="002B1163">
        <w:t xml:space="preserve"> </w:t>
      </w:r>
      <w:r w:rsidR="009B6314">
        <w:t>da MPV nº</w:t>
      </w:r>
      <w:r w:rsidR="002B1163">
        <w:t xml:space="preserve"> 2.186-16, de 2001, para excluir da aplicação </w:t>
      </w:r>
      <w:r w:rsidR="008901B6">
        <w:t xml:space="preserve">da MPV </w:t>
      </w:r>
      <w:r w:rsidR="002B1163">
        <w:t xml:space="preserve">os recursos genéticos </w:t>
      </w:r>
      <w:r w:rsidR="002B1163" w:rsidRPr="002B1163">
        <w:t xml:space="preserve">objeto do Tratado Internacional sobre Recursos </w:t>
      </w:r>
      <w:proofErr w:type="spellStart"/>
      <w:r w:rsidR="002B1163" w:rsidRPr="002B1163">
        <w:t>Fitogenéticos</w:t>
      </w:r>
      <w:proofErr w:type="spellEnd"/>
      <w:r w:rsidR="002B1163" w:rsidRPr="002B1163">
        <w:t xml:space="preserve"> para a Alimentação e a Agricultura (TIRFAA), promulgado no Brasil por meio do Decreto nº 6.476, de 5 de junho de 2008.</w:t>
      </w:r>
    </w:p>
    <w:p w:rsidR="0014105D" w:rsidRPr="0014105D" w:rsidRDefault="0014105D" w:rsidP="0014105D">
      <w:pPr>
        <w:pStyle w:val="06-Pargrafodetexto-CLG"/>
      </w:pPr>
      <w:r w:rsidRPr="0014105D">
        <w:rPr>
          <w:bCs/>
          <w:iCs/>
        </w:rPr>
        <w:t xml:space="preserve">O art. 2º </w:t>
      </w:r>
      <w:r w:rsidRPr="0014105D">
        <w:t>determina que a lei entre em vigor na data de sua publicação.</w:t>
      </w:r>
    </w:p>
    <w:p w:rsidR="009B6314" w:rsidRDefault="009B6314" w:rsidP="009B6314">
      <w:pPr>
        <w:pStyle w:val="06-Pargrafodetexto-CLG"/>
      </w:pPr>
      <w:r>
        <w:t xml:space="preserve">A Proposição foi inicialmente submetida </w:t>
      </w:r>
      <w:r w:rsidR="00BC26F5">
        <w:t>a</w:t>
      </w:r>
      <w:r w:rsidR="00924088">
        <w:t>o</w:t>
      </w:r>
      <w:r>
        <w:t xml:space="preserve"> exame da </w:t>
      </w:r>
      <w:r w:rsidR="008C5C2F">
        <w:t xml:space="preserve">Comissão </w:t>
      </w:r>
      <w:r w:rsidR="002B1163" w:rsidRPr="002B1163">
        <w:t>de Relações Exteriores e Defesa Nacional</w:t>
      </w:r>
      <w:r w:rsidR="00FA1975">
        <w:t xml:space="preserve"> (C</w:t>
      </w:r>
      <w:r w:rsidR="002B1163">
        <w:t>RE</w:t>
      </w:r>
      <w:r w:rsidR="00FA1975">
        <w:t>), que a aprovou</w:t>
      </w:r>
      <w:r w:rsidR="002B1163">
        <w:t xml:space="preserve"> com uma emenda, e pela </w:t>
      </w:r>
      <w:r w:rsidRPr="00803D90">
        <w:t>Comissão de Agricultura e Reforma Agrária</w:t>
      </w:r>
      <w:r>
        <w:t xml:space="preserve"> (CRA)</w:t>
      </w:r>
      <w:r w:rsidR="00FA1975">
        <w:t>, onde foi considerada prejudicada</w:t>
      </w:r>
      <w:r>
        <w:t xml:space="preserve">, antes da deliberação terminativa da CMA. </w:t>
      </w:r>
    </w:p>
    <w:p w:rsidR="009B6314" w:rsidRDefault="00573711" w:rsidP="00573711">
      <w:pPr>
        <w:pStyle w:val="06-Pargrafodetexto-CLG"/>
      </w:pPr>
      <w:r w:rsidRPr="0014105D">
        <w:t xml:space="preserve">Na CMA não foram </w:t>
      </w:r>
      <w:r>
        <w:t>apresentadas emendas ao projeto</w:t>
      </w:r>
      <w:r w:rsidR="009B6314" w:rsidRPr="005F35B3">
        <w:t>.</w:t>
      </w:r>
    </w:p>
    <w:p w:rsidR="00A85ECB" w:rsidRPr="005523B9" w:rsidRDefault="00A85ECB" w:rsidP="00A85ECB">
      <w:pPr>
        <w:pStyle w:val="05-Subttulo-CLG"/>
      </w:pPr>
      <w:r w:rsidRPr="005523B9">
        <w:t>II – ANÁLISE</w:t>
      </w:r>
    </w:p>
    <w:p w:rsidR="00573711" w:rsidRPr="00573711" w:rsidRDefault="00573711" w:rsidP="00573711">
      <w:pPr>
        <w:pStyle w:val="06-Pargrafodetexto-CLG"/>
      </w:pPr>
      <w:r w:rsidRPr="00573711">
        <w:t xml:space="preserve">Compete à CMA, nos termos do art. 102-A, inciso II, alínea </w:t>
      </w:r>
      <w:r w:rsidR="0099724F">
        <w:rPr>
          <w:i/>
        </w:rPr>
        <w:t>c</w:t>
      </w:r>
      <w:r w:rsidRPr="00573711">
        <w:t>,</w:t>
      </w:r>
      <w:r w:rsidRPr="00573711">
        <w:rPr>
          <w:i/>
          <w:iCs/>
        </w:rPr>
        <w:t xml:space="preserve"> </w:t>
      </w:r>
      <w:r w:rsidRPr="00573711">
        <w:t xml:space="preserve">do Regimento Interno do Senado Federal, opinar sobre assuntos atinentes à </w:t>
      </w:r>
      <w:r w:rsidR="0099724F">
        <w:t>exploração da biodiversidade</w:t>
      </w:r>
      <w:r w:rsidRPr="00573711">
        <w:t>. Por se tratar da Comissão incumbida de analisar o projeto em decisão terminativa, cabe a este colegiado igualmente apreciar os aspectos de constitucionalidade, juridicidade e técnica legislativa da proposição.</w:t>
      </w:r>
    </w:p>
    <w:p w:rsidR="00573711" w:rsidRPr="00573711" w:rsidRDefault="00573711" w:rsidP="00573711">
      <w:pPr>
        <w:pStyle w:val="06-Pargrafodetexto-CLG"/>
      </w:pPr>
      <w:r w:rsidRPr="00573711">
        <w:t xml:space="preserve">Em relação à constitucionalidade, note-se que o PLS nº </w:t>
      </w:r>
      <w:r w:rsidR="00B674B7">
        <w:t>1</w:t>
      </w:r>
      <w:r w:rsidR="008C5C2F">
        <w:t>5</w:t>
      </w:r>
      <w:r w:rsidRPr="00573711">
        <w:t>, de 201</w:t>
      </w:r>
      <w:r w:rsidR="00B674B7">
        <w:t>3</w:t>
      </w:r>
      <w:r w:rsidRPr="00573711">
        <w:t>, está de acordo com o art. 2</w:t>
      </w:r>
      <w:r w:rsidR="0099724F">
        <w:t>4</w:t>
      </w:r>
      <w:r w:rsidRPr="00573711">
        <w:t xml:space="preserve">, inciso </w:t>
      </w:r>
      <w:r w:rsidR="0099724F">
        <w:t>VI</w:t>
      </w:r>
      <w:r w:rsidRPr="00573711">
        <w:t xml:space="preserve">, da Constituição Federal, por tratar de tema de competência legislativa privativa da União. Desse modo, incumbe ao Congresso Nacional dispor sobre a matéria e é legítima a iniciativa parlamentar, nos termos do art. 61 da Carta Magna. </w:t>
      </w:r>
      <w:r w:rsidR="00415679">
        <w:t xml:space="preserve">Ademais, não </w:t>
      </w:r>
      <w:r w:rsidRPr="00573711">
        <w:t xml:space="preserve">há norma constitucional que, no aspecto material, esteja em conflito com o teor da proposição em exame. A iniciativa atende aos requisitos de juridicidade e </w:t>
      </w:r>
      <w:proofErr w:type="spellStart"/>
      <w:r w:rsidRPr="00573711">
        <w:t>regimentalidade</w:t>
      </w:r>
      <w:proofErr w:type="spellEnd"/>
      <w:r w:rsidRPr="00573711">
        <w:t xml:space="preserve">. </w:t>
      </w:r>
    </w:p>
    <w:p w:rsidR="009E7EA5" w:rsidRDefault="000B10AB" w:rsidP="000B10AB">
      <w:pPr>
        <w:pStyle w:val="06-Pargrafodetexto-CLG"/>
      </w:pPr>
      <w:r>
        <w:t xml:space="preserve">Quanto ao mérito, </w:t>
      </w:r>
      <w:r w:rsidR="00573711">
        <w:t>a proposição busca</w:t>
      </w:r>
      <w:r>
        <w:t xml:space="preserve"> </w:t>
      </w:r>
      <w:r w:rsidR="00B674B7">
        <w:t xml:space="preserve">permitir </w:t>
      </w:r>
      <w:r w:rsidR="00334B8A">
        <w:t>o</w:t>
      </w:r>
      <w:r w:rsidR="00B674B7">
        <w:t xml:space="preserve"> acesso </w:t>
      </w:r>
      <w:r w:rsidR="00B674B7" w:rsidRPr="00B674B7">
        <w:t xml:space="preserve">aos recursos genéticos destinados à produção de alimentos </w:t>
      </w:r>
      <w:r w:rsidR="00334B8A">
        <w:t xml:space="preserve">e que esses </w:t>
      </w:r>
      <w:r w:rsidR="00B674B7" w:rsidRPr="00B674B7">
        <w:t>tenham tratamento diferenciado daqueles destinados ao uso industrial</w:t>
      </w:r>
      <w:r w:rsidR="00B674B7" w:rsidRPr="008901B6">
        <w:t xml:space="preserve">. </w:t>
      </w:r>
    </w:p>
    <w:p w:rsidR="00327414" w:rsidRDefault="00B674B7" w:rsidP="0029610C">
      <w:pPr>
        <w:pStyle w:val="06-Pargrafodetexto-CLG"/>
      </w:pPr>
      <w:r>
        <w:lastRenderedPageBreak/>
        <w:t xml:space="preserve">Entretanto, devemos salientar que </w:t>
      </w:r>
      <w:r w:rsidR="0029610C" w:rsidRPr="0029610C">
        <w:t xml:space="preserve">a MPV nº 2.186-16, de 2001, que estava em vigor por força do no art. 2º da Emenda Constitucional (EC) nº 32, de 2001, foi </w:t>
      </w:r>
      <w:r w:rsidR="00415679">
        <w:t>completamente</w:t>
      </w:r>
      <w:r w:rsidR="00415679" w:rsidRPr="0029610C">
        <w:t xml:space="preserve"> </w:t>
      </w:r>
      <w:r w:rsidR="0029610C" w:rsidRPr="0029610C">
        <w:t>revogada pela Lei nº 13.123, de 20 de maio de 2015, que estabeleceu novo marco regulatório para o uso da biodiversidade.</w:t>
      </w:r>
    </w:p>
    <w:p w:rsidR="00327414" w:rsidRPr="00327414" w:rsidRDefault="00B674B7" w:rsidP="00E4537D">
      <w:pPr>
        <w:pStyle w:val="06-Pargrafodetexto-CLG"/>
      </w:pPr>
      <w:r>
        <w:t>Portanto</w:t>
      </w:r>
      <w:r w:rsidR="0029610C" w:rsidRPr="0029610C">
        <w:t xml:space="preserve">, </w:t>
      </w:r>
      <w:r>
        <w:t>com a aprovação d</w:t>
      </w:r>
      <w:r w:rsidR="00327414" w:rsidRPr="0029610C">
        <w:t xml:space="preserve">a Lei nº 13.123, de 2013, </w:t>
      </w:r>
      <w:r>
        <w:t>pelo Congresso Nacional, a proposição sofreu perda de oportunidade</w:t>
      </w:r>
      <w:r w:rsidRPr="00327414">
        <w:t xml:space="preserve">, </w:t>
      </w:r>
      <w:r>
        <w:t>conforme estabelece</w:t>
      </w:r>
      <w:r w:rsidRPr="00327414">
        <w:t xml:space="preserve"> </w:t>
      </w:r>
      <w:r w:rsidR="00E4537D">
        <w:t xml:space="preserve">o </w:t>
      </w:r>
      <w:r w:rsidR="00E4537D" w:rsidRPr="00327414">
        <w:t xml:space="preserve">inciso I </w:t>
      </w:r>
      <w:r w:rsidR="00E4537D">
        <w:t>d</w:t>
      </w:r>
      <w:r w:rsidRPr="00327414">
        <w:t>o art.</w:t>
      </w:r>
      <w:r>
        <w:t> </w:t>
      </w:r>
      <w:r w:rsidR="00E4537D">
        <w:t xml:space="preserve">334 </w:t>
      </w:r>
      <w:r w:rsidRPr="00327414">
        <w:t>do Regimento Interno do Senado Federal (RISF)</w:t>
      </w:r>
      <w:r w:rsidR="00E4537D">
        <w:t xml:space="preserve">. Sendo assim, compete </w:t>
      </w:r>
      <w:r w:rsidR="00327414">
        <w:t>considera</w:t>
      </w:r>
      <w:r w:rsidR="00E4537D">
        <w:t>r</w:t>
      </w:r>
      <w:r w:rsidR="00327414">
        <w:t xml:space="preserve"> </w:t>
      </w:r>
      <w:r w:rsidR="00327414" w:rsidRPr="00327414">
        <w:t>o PLS nº</w:t>
      </w:r>
      <w:r w:rsidR="00327414">
        <w:t> </w:t>
      </w:r>
      <w:r w:rsidR="00102697">
        <w:t>15</w:t>
      </w:r>
      <w:r w:rsidR="00327414" w:rsidRPr="00327414">
        <w:t xml:space="preserve">, de </w:t>
      </w:r>
      <w:r w:rsidR="00102697" w:rsidRPr="00327414">
        <w:t>201</w:t>
      </w:r>
      <w:r w:rsidR="00102697">
        <w:t>3</w:t>
      </w:r>
      <w:r w:rsidR="00327414" w:rsidRPr="00327414">
        <w:t>, prejudicado.</w:t>
      </w:r>
    </w:p>
    <w:p w:rsidR="00A85ECB" w:rsidRDefault="00A85ECB" w:rsidP="00A85ECB">
      <w:pPr>
        <w:pStyle w:val="05-Subttulo-CLG"/>
      </w:pPr>
      <w:r>
        <w:t>III – VOTO</w:t>
      </w:r>
    </w:p>
    <w:p w:rsidR="00A85ECB" w:rsidRPr="00433B79" w:rsidRDefault="009E7EA5" w:rsidP="00A85ECB">
      <w:pPr>
        <w:pStyle w:val="06-Pargrafodetexto-CLG"/>
      </w:pPr>
      <w:r>
        <w:t xml:space="preserve">Dessa forma, votamos pela </w:t>
      </w:r>
      <w:r w:rsidR="00A4308C">
        <w:t xml:space="preserve">recomendação de declaração de </w:t>
      </w:r>
      <w:proofErr w:type="spellStart"/>
      <w:r w:rsidR="00327414" w:rsidRPr="00327414">
        <w:rPr>
          <w:b/>
        </w:rPr>
        <w:t>prejudici</w:t>
      </w:r>
      <w:r w:rsidR="00327414">
        <w:rPr>
          <w:b/>
        </w:rPr>
        <w:t>ali</w:t>
      </w:r>
      <w:r w:rsidR="00327414" w:rsidRPr="00327414">
        <w:rPr>
          <w:b/>
        </w:rPr>
        <w:t>dade</w:t>
      </w:r>
      <w:proofErr w:type="spellEnd"/>
      <w:r>
        <w:t xml:space="preserve"> do PLS nº</w:t>
      </w:r>
      <w:r w:rsidR="00717C8B">
        <w:t> </w:t>
      </w:r>
      <w:r>
        <w:t>1</w:t>
      </w:r>
      <w:r w:rsidR="00183500">
        <w:t>5</w:t>
      </w:r>
      <w:r>
        <w:t>, de 2013.</w:t>
      </w:r>
    </w:p>
    <w:p w:rsidR="00A85ECB" w:rsidRDefault="00C218D0" w:rsidP="00A85ECB">
      <w:pPr>
        <w:pStyle w:val="10-Local-CLG"/>
      </w:pPr>
      <w:r>
        <w:t>Sala da Comissão,</w:t>
      </w:r>
      <w:r w:rsidR="003B7139">
        <w:t xml:space="preserve"> em 29 de março de 2016.</w:t>
      </w:r>
    </w:p>
    <w:p w:rsidR="00A85ECB" w:rsidRPr="00724990" w:rsidRDefault="003B7139" w:rsidP="003B7139">
      <w:pPr>
        <w:pStyle w:val="11-Assinaturas-CLG"/>
        <w:ind w:left="5529"/>
      </w:pPr>
      <w:r>
        <w:t>Senador Ataídes Oliveira</w:t>
      </w:r>
      <w:r w:rsidR="00A85ECB">
        <w:t>, Presidente</w:t>
      </w:r>
      <w:r>
        <w:t xml:space="preserve"> em exercício</w:t>
      </w:r>
    </w:p>
    <w:p w:rsidR="00A85ECB" w:rsidRDefault="003B7139" w:rsidP="003B7139">
      <w:pPr>
        <w:pStyle w:val="11-Assinaturas-CLG"/>
        <w:ind w:left="5529"/>
      </w:pPr>
      <w:r>
        <w:t>Senador Jorge Viana</w:t>
      </w:r>
      <w:r w:rsidR="00A85ECB">
        <w:t>, Relator</w:t>
      </w:r>
      <w:bookmarkStart w:id="2" w:name="_GoBack"/>
      <w:bookmarkEnd w:id="2"/>
    </w:p>
    <w:p w:rsidR="003B7139" w:rsidRDefault="003B7139" w:rsidP="003B7139">
      <w:pPr>
        <w:pStyle w:val="11-Assinaturas-CLG"/>
        <w:ind w:left="5529"/>
      </w:pPr>
      <w:r>
        <w:t>Senador</w:t>
      </w:r>
      <w:r>
        <w:t>a</w:t>
      </w:r>
      <w:r>
        <w:t xml:space="preserve"> </w:t>
      </w:r>
      <w:proofErr w:type="spellStart"/>
      <w:r>
        <w:t>Lídice</w:t>
      </w:r>
      <w:proofErr w:type="spellEnd"/>
      <w:r>
        <w:t xml:space="preserve"> da Mata</w:t>
      </w:r>
      <w:r>
        <w:t>, Relator</w:t>
      </w:r>
      <w:r>
        <w:t>a ad hoc</w:t>
      </w:r>
    </w:p>
    <w:p w:rsidR="003B7139" w:rsidRDefault="003B7139" w:rsidP="00A85ECB">
      <w:pPr>
        <w:pStyle w:val="11-Assinaturas-CLG"/>
      </w:pPr>
    </w:p>
    <w:sectPr w:rsidR="003B7139" w:rsidSect="007A6ED1">
      <w:headerReference w:type="even" r:id="rId7"/>
      <w:headerReference w:type="default" r:id="rId8"/>
      <w:footerReference w:type="default" r:id="rId9"/>
      <w:footerReference w:type="first" r:id="rId10"/>
      <w:pgSz w:w="11906" w:h="16838"/>
      <w:pgMar w:top="2694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07D7" w:rsidRDefault="00E207D7" w:rsidP="00A85ECB">
      <w:pPr>
        <w:spacing w:after="0" w:line="240" w:lineRule="auto"/>
      </w:pPr>
      <w:r>
        <w:separator/>
      </w:r>
    </w:p>
  </w:endnote>
  <w:endnote w:type="continuationSeparator" w:id="0">
    <w:p w:rsidR="00E207D7" w:rsidRDefault="00E207D7" w:rsidP="00A85E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74B7" w:rsidRDefault="00B674B7">
    <w:pPr>
      <w:pStyle w:val="Rodap"/>
      <w:rPr>
        <w:i/>
        <w:sz w:val="18"/>
      </w:rPr>
    </w:pPr>
    <w:r>
      <w:rPr>
        <w:i/>
        <w:sz w:val="18"/>
        <w:szCs w:val="18"/>
      </w:rPr>
      <w:t>jo</w:t>
    </w:r>
    <w:r w:rsidRPr="005F5802">
      <w:rPr>
        <w:i/>
        <w:sz w:val="18"/>
        <w:szCs w:val="18"/>
      </w:rPr>
      <w:t>20</w:t>
    </w:r>
    <w:r>
      <w:rPr>
        <w:i/>
        <w:sz w:val="18"/>
        <w:szCs w:val="18"/>
      </w:rPr>
      <w:t>15-08619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74B7" w:rsidRPr="00342E7D" w:rsidRDefault="00B674B7">
    <w:pPr>
      <w:pStyle w:val="Rodap"/>
      <w:rPr>
        <w:i/>
        <w:sz w:val="18"/>
        <w:szCs w:val="18"/>
      </w:rPr>
    </w:pPr>
    <w:r w:rsidRPr="00342E7D">
      <w:rPr>
        <w:i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07D7" w:rsidRDefault="00E207D7" w:rsidP="00A85ECB">
      <w:pPr>
        <w:spacing w:after="0" w:line="240" w:lineRule="auto"/>
      </w:pPr>
      <w:r>
        <w:separator/>
      </w:r>
    </w:p>
  </w:footnote>
  <w:footnote w:type="continuationSeparator" w:id="0">
    <w:p w:rsidR="00E207D7" w:rsidRDefault="00E207D7" w:rsidP="00A85E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74B7" w:rsidRDefault="00B674B7" w:rsidP="00A85E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B674B7" w:rsidRDefault="00B674B7">
    <w:pPr>
      <w:pStyle w:val="Cabealho"/>
      <w:ind w:right="360"/>
    </w:pPr>
  </w:p>
  <w:p w:rsidR="00B674B7" w:rsidRDefault="00B674B7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74B7" w:rsidRDefault="00B674B7" w:rsidP="00A85E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7139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B674B7" w:rsidRDefault="00B674B7">
    <w:pPr>
      <w:pStyle w:val="Cabealho"/>
      <w:ind w:right="360"/>
    </w:pPr>
  </w:p>
  <w:p w:rsidR="00B674B7" w:rsidRDefault="00B674B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C4987C2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ECB"/>
    <w:rsid w:val="0003485E"/>
    <w:rsid w:val="00055CBB"/>
    <w:rsid w:val="0007300D"/>
    <w:rsid w:val="000B10AB"/>
    <w:rsid w:val="000B381A"/>
    <w:rsid w:val="000F1D8B"/>
    <w:rsid w:val="000F36EB"/>
    <w:rsid w:val="00102697"/>
    <w:rsid w:val="0011533A"/>
    <w:rsid w:val="001234EB"/>
    <w:rsid w:val="00137DA3"/>
    <w:rsid w:val="0014058C"/>
    <w:rsid w:val="0014105D"/>
    <w:rsid w:val="00183500"/>
    <w:rsid w:val="0019646D"/>
    <w:rsid w:val="001C0410"/>
    <w:rsid w:val="001C3DA2"/>
    <w:rsid w:val="001E1F73"/>
    <w:rsid w:val="001F09F7"/>
    <w:rsid w:val="001F7438"/>
    <w:rsid w:val="002029DB"/>
    <w:rsid w:val="0029610C"/>
    <w:rsid w:val="002B1163"/>
    <w:rsid w:val="002D7AB9"/>
    <w:rsid w:val="002F08FB"/>
    <w:rsid w:val="00317CCC"/>
    <w:rsid w:val="00327414"/>
    <w:rsid w:val="00334B8A"/>
    <w:rsid w:val="00385A9D"/>
    <w:rsid w:val="00391631"/>
    <w:rsid w:val="003B6BA9"/>
    <w:rsid w:val="003B7139"/>
    <w:rsid w:val="003C5949"/>
    <w:rsid w:val="003E35DE"/>
    <w:rsid w:val="003F695A"/>
    <w:rsid w:val="00415679"/>
    <w:rsid w:val="004252BD"/>
    <w:rsid w:val="004254A4"/>
    <w:rsid w:val="00457BC5"/>
    <w:rsid w:val="00461709"/>
    <w:rsid w:val="0047024D"/>
    <w:rsid w:val="00474C97"/>
    <w:rsid w:val="0048265E"/>
    <w:rsid w:val="004D4188"/>
    <w:rsid w:val="0050661C"/>
    <w:rsid w:val="005079CB"/>
    <w:rsid w:val="005427DE"/>
    <w:rsid w:val="0055336D"/>
    <w:rsid w:val="00554134"/>
    <w:rsid w:val="00573711"/>
    <w:rsid w:val="0059291D"/>
    <w:rsid w:val="005C0FDC"/>
    <w:rsid w:val="005F66EF"/>
    <w:rsid w:val="00661EE5"/>
    <w:rsid w:val="00666B40"/>
    <w:rsid w:val="006B2AD4"/>
    <w:rsid w:val="006D0FA6"/>
    <w:rsid w:val="006F0AA5"/>
    <w:rsid w:val="00717C8B"/>
    <w:rsid w:val="00786E12"/>
    <w:rsid w:val="00796409"/>
    <w:rsid w:val="007A24D4"/>
    <w:rsid w:val="007A6ED1"/>
    <w:rsid w:val="007F6C25"/>
    <w:rsid w:val="00800E94"/>
    <w:rsid w:val="00806347"/>
    <w:rsid w:val="00813B0E"/>
    <w:rsid w:val="00823A2F"/>
    <w:rsid w:val="00836831"/>
    <w:rsid w:val="008707F5"/>
    <w:rsid w:val="00877CB2"/>
    <w:rsid w:val="008901B6"/>
    <w:rsid w:val="008C5C2F"/>
    <w:rsid w:val="008D22A3"/>
    <w:rsid w:val="008E66F2"/>
    <w:rsid w:val="00911A1C"/>
    <w:rsid w:val="00924088"/>
    <w:rsid w:val="00936A77"/>
    <w:rsid w:val="00957CF0"/>
    <w:rsid w:val="0099724F"/>
    <w:rsid w:val="009B3198"/>
    <w:rsid w:val="009B6314"/>
    <w:rsid w:val="009D06F8"/>
    <w:rsid w:val="009E7EA5"/>
    <w:rsid w:val="00A070DD"/>
    <w:rsid w:val="00A3493D"/>
    <w:rsid w:val="00A4308C"/>
    <w:rsid w:val="00A83C71"/>
    <w:rsid w:val="00A85ECB"/>
    <w:rsid w:val="00AE42FC"/>
    <w:rsid w:val="00B26EDC"/>
    <w:rsid w:val="00B44A19"/>
    <w:rsid w:val="00B5322A"/>
    <w:rsid w:val="00B57CDF"/>
    <w:rsid w:val="00B674B7"/>
    <w:rsid w:val="00BC26F5"/>
    <w:rsid w:val="00BC3359"/>
    <w:rsid w:val="00C218D0"/>
    <w:rsid w:val="00C538BC"/>
    <w:rsid w:val="00C54477"/>
    <w:rsid w:val="00C848A0"/>
    <w:rsid w:val="00CB67DE"/>
    <w:rsid w:val="00CF4AAD"/>
    <w:rsid w:val="00D20B94"/>
    <w:rsid w:val="00D615CC"/>
    <w:rsid w:val="00D97928"/>
    <w:rsid w:val="00DD3BEA"/>
    <w:rsid w:val="00E207D7"/>
    <w:rsid w:val="00E241F7"/>
    <w:rsid w:val="00E328A5"/>
    <w:rsid w:val="00E4537D"/>
    <w:rsid w:val="00E57DDB"/>
    <w:rsid w:val="00EC05B2"/>
    <w:rsid w:val="00ED16F3"/>
    <w:rsid w:val="00ED38EE"/>
    <w:rsid w:val="00F56077"/>
    <w:rsid w:val="00F94901"/>
    <w:rsid w:val="00FA009E"/>
    <w:rsid w:val="00FA1975"/>
    <w:rsid w:val="00FA22FA"/>
    <w:rsid w:val="00FA5251"/>
    <w:rsid w:val="00FE7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chartTrackingRefBased/>
  <w15:docId w15:val="{1ED9D3BE-C6B6-447F-BE6C-66FE75D59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058C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rsid w:val="00A85ECB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/>
      <w:sz w:val="24"/>
      <w:szCs w:val="24"/>
      <w:lang w:val="x-none" w:eastAsia="pt-BR"/>
    </w:rPr>
  </w:style>
  <w:style w:type="character" w:customStyle="1" w:styleId="CabealhoChar">
    <w:name w:val="Cabeçalho Char"/>
    <w:link w:val="Cabealho"/>
    <w:semiHidden/>
    <w:rsid w:val="00A85EC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A85ECB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/>
      <w:sz w:val="24"/>
      <w:szCs w:val="24"/>
      <w:lang w:val="x-none" w:eastAsia="pt-BR"/>
    </w:rPr>
  </w:style>
  <w:style w:type="character" w:customStyle="1" w:styleId="RodapChar">
    <w:name w:val="Rodapé Char"/>
    <w:link w:val="Rodap"/>
    <w:semiHidden/>
    <w:rsid w:val="00A85EC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semiHidden/>
    <w:rsid w:val="00A85ECB"/>
  </w:style>
  <w:style w:type="paragraph" w:customStyle="1" w:styleId="01-Minuta-CLG">
    <w:name w:val="01 - Minuta - CLG"/>
    <w:link w:val="01-Minuta-CLGChar"/>
    <w:rsid w:val="00A85ECB"/>
    <w:pPr>
      <w:spacing w:after="180"/>
      <w:jc w:val="center"/>
    </w:pPr>
    <w:rPr>
      <w:rFonts w:ascii="Times New Roman" w:eastAsia="Times New Roman" w:hAnsi="Times New Roman"/>
      <w:sz w:val="24"/>
    </w:rPr>
  </w:style>
  <w:style w:type="paragraph" w:customStyle="1" w:styleId="02-TtuloPrincipal-CLG">
    <w:name w:val="02 - Título Principal - CLG"/>
    <w:link w:val="02-TtuloPrincipal-CLGChar"/>
    <w:rsid w:val="00A85ECB"/>
    <w:pPr>
      <w:spacing w:after="960"/>
      <w:jc w:val="center"/>
    </w:pPr>
    <w:rPr>
      <w:rFonts w:ascii="Times New Roman" w:eastAsia="Times New Roman" w:hAnsi="Times New Roman"/>
      <w:b/>
      <w:bCs/>
      <w:sz w:val="32"/>
    </w:rPr>
  </w:style>
  <w:style w:type="paragraph" w:customStyle="1" w:styleId="03-Ementa-CLG">
    <w:name w:val="03 - Ementa - CLG"/>
    <w:link w:val="03-Ementa-CLGCharChar"/>
    <w:rsid w:val="00A85ECB"/>
    <w:pPr>
      <w:spacing w:after="960"/>
      <w:ind w:left="3686"/>
      <w:jc w:val="both"/>
    </w:pPr>
    <w:rPr>
      <w:rFonts w:ascii="Times New Roman" w:eastAsia="Arial Unicode MS" w:hAnsi="Times New Roman"/>
      <w:sz w:val="24"/>
      <w:szCs w:val="24"/>
    </w:rPr>
  </w:style>
  <w:style w:type="character" w:customStyle="1" w:styleId="03-Ementa-CLGCharChar">
    <w:name w:val="03 - Ementa - CLG Char Char"/>
    <w:link w:val="03-Ementa-CLG"/>
    <w:rsid w:val="00A85ECB"/>
    <w:rPr>
      <w:rFonts w:ascii="Times New Roman" w:eastAsia="Arial Unicode MS" w:hAnsi="Times New Roman"/>
      <w:sz w:val="24"/>
      <w:szCs w:val="24"/>
      <w:lang w:val="pt-BR" w:eastAsia="pt-BR" w:bidi="ar-SA"/>
    </w:rPr>
  </w:style>
  <w:style w:type="paragraph" w:customStyle="1" w:styleId="04-Relatoria-CLG">
    <w:name w:val="04 - Relatoria - CLG"/>
    <w:link w:val="04-Relatoria-CLGChar"/>
    <w:rsid w:val="00A85ECB"/>
    <w:pPr>
      <w:spacing w:after="960"/>
      <w:ind w:left="1440"/>
    </w:pPr>
    <w:rPr>
      <w:rFonts w:ascii="Times New Roman" w:eastAsia="Times New Roman" w:hAnsi="Times New Roman"/>
      <w:sz w:val="28"/>
    </w:rPr>
  </w:style>
  <w:style w:type="paragraph" w:customStyle="1" w:styleId="05-Subttulo-CLG">
    <w:name w:val="05 - Subtítulo - CLG"/>
    <w:link w:val="05-Subttulo-CLGChar"/>
    <w:rsid w:val="00A85ECB"/>
    <w:pPr>
      <w:spacing w:after="480"/>
      <w:jc w:val="both"/>
    </w:pPr>
    <w:rPr>
      <w:rFonts w:ascii="Times New Roman" w:eastAsia="Times New Roman" w:hAnsi="Times New Roman"/>
      <w:b/>
      <w:bCs/>
      <w:sz w:val="28"/>
    </w:rPr>
  </w:style>
  <w:style w:type="paragraph" w:customStyle="1" w:styleId="06-Pargrafodetexto-CLG">
    <w:name w:val="06 - Parágrafo de texto - CLG"/>
    <w:link w:val="06-Pargrafodetexto-CLGChar"/>
    <w:rsid w:val="00A85ECB"/>
    <w:pPr>
      <w:spacing w:after="360"/>
      <w:ind w:firstLine="1418"/>
      <w:jc w:val="both"/>
    </w:pPr>
    <w:rPr>
      <w:rFonts w:ascii="Times New Roman" w:eastAsia="Times New Roman" w:hAnsi="Times New Roman"/>
      <w:sz w:val="28"/>
    </w:rPr>
  </w:style>
  <w:style w:type="character" w:customStyle="1" w:styleId="01-Minuta-CLGChar">
    <w:name w:val="01 - Minuta - CLG Char"/>
    <w:link w:val="01-Minuta-CLG"/>
    <w:rsid w:val="00A85ECB"/>
    <w:rPr>
      <w:rFonts w:ascii="Times New Roman" w:eastAsia="Times New Roman" w:hAnsi="Times New Roman"/>
      <w:sz w:val="24"/>
      <w:lang w:val="pt-BR" w:eastAsia="pt-BR" w:bidi="ar-SA"/>
    </w:rPr>
  </w:style>
  <w:style w:type="paragraph" w:customStyle="1" w:styleId="10-Local-CLG">
    <w:name w:val="10 - Local - CLG"/>
    <w:link w:val="10-Local-CLGChar"/>
    <w:rsid w:val="00A85ECB"/>
    <w:pPr>
      <w:spacing w:before="960" w:after="720"/>
      <w:ind w:firstLine="2520"/>
      <w:jc w:val="both"/>
    </w:pPr>
    <w:rPr>
      <w:rFonts w:ascii="Times New Roman" w:eastAsia="Times New Roman" w:hAnsi="Times New Roman"/>
      <w:sz w:val="28"/>
    </w:rPr>
  </w:style>
  <w:style w:type="paragraph" w:customStyle="1" w:styleId="11-Assinaturas-CLG">
    <w:name w:val="11 - Assinaturas - CLG"/>
    <w:link w:val="11-Assinaturas-CLGChar"/>
    <w:rsid w:val="00A85ECB"/>
    <w:pPr>
      <w:spacing w:after="960"/>
      <w:ind w:left="6240"/>
      <w:jc w:val="both"/>
    </w:pPr>
    <w:rPr>
      <w:rFonts w:ascii="Times New Roman" w:eastAsia="Times New Roman" w:hAnsi="Times New Roman"/>
      <w:sz w:val="28"/>
    </w:rPr>
  </w:style>
  <w:style w:type="character" w:customStyle="1" w:styleId="02-TtuloPrincipal-CLGChar">
    <w:name w:val="02 - Título Principal - CLG Char"/>
    <w:link w:val="02-TtuloPrincipal-CLG"/>
    <w:rsid w:val="00A85ECB"/>
    <w:rPr>
      <w:rFonts w:ascii="Times New Roman" w:eastAsia="Times New Roman" w:hAnsi="Times New Roman"/>
      <w:b/>
      <w:bCs/>
      <w:sz w:val="32"/>
      <w:lang w:val="pt-BR" w:eastAsia="pt-BR" w:bidi="ar-SA"/>
    </w:rPr>
  </w:style>
  <w:style w:type="character" w:customStyle="1" w:styleId="04-Relatoria-CLGChar">
    <w:name w:val="04 - Relatoria - CLG Char"/>
    <w:link w:val="04-Relatoria-CLG"/>
    <w:rsid w:val="00A85ECB"/>
    <w:rPr>
      <w:rFonts w:ascii="Times New Roman" w:eastAsia="Times New Roman" w:hAnsi="Times New Roman"/>
      <w:sz w:val="28"/>
      <w:lang w:val="pt-BR" w:eastAsia="pt-BR" w:bidi="ar-SA"/>
    </w:rPr>
  </w:style>
  <w:style w:type="character" w:customStyle="1" w:styleId="05-Subttulo-CLGChar">
    <w:name w:val="05 - Subtítulo - CLG Char"/>
    <w:link w:val="05-Subttulo-CLG"/>
    <w:rsid w:val="00A85ECB"/>
    <w:rPr>
      <w:rFonts w:ascii="Times New Roman" w:eastAsia="Times New Roman" w:hAnsi="Times New Roman"/>
      <w:b/>
      <w:bCs/>
      <w:sz w:val="28"/>
      <w:lang w:val="pt-BR" w:eastAsia="pt-BR" w:bidi="ar-SA"/>
    </w:rPr>
  </w:style>
  <w:style w:type="character" w:customStyle="1" w:styleId="06-Pargrafodetexto-CLGChar">
    <w:name w:val="06 - Parágrafo de texto - CLG Char"/>
    <w:link w:val="06-Pargrafodetexto-CLG"/>
    <w:rsid w:val="00A85ECB"/>
    <w:rPr>
      <w:rFonts w:ascii="Times New Roman" w:eastAsia="Times New Roman" w:hAnsi="Times New Roman"/>
      <w:sz w:val="28"/>
      <w:lang w:val="pt-BR" w:eastAsia="pt-BR" w:bidi="ar-SA"/>
    </w:rPr>
  </w:style>
  <w:style w:type="character" w:customStyle="1" w:styleId="10-Local-CLGChar">
    <w:name w:val="10 - Local - CLG Char"/>
    <w:link w:val="10-Local-CLG"/>
    <w:rsid w:val="00A85ECB"/>
    <w:rPr>
      <w:rFonts w:ascii="Times New Roman" w:eastAsia="Times New Roman" w:hAnsi="Times New Roman"/>
      <w:sz w:val="28"/>
      <w:lang w:val="pt-BR" w:eastAsia="pt-BR" w:bidi="ar-SA"/>
    </w:rPr>
  </w:style>
  <w:style w:type="character" w:customStyle="1" w:styleId="11-Assinaturas-CLGChar">
    <w:name w:val="11 - Assinaturas - CLG Char"/>
    <w:link w:val="11-Assinaturas-CLG"/>
    <w:rsid w:val="00A85ECB"/>
    <w:rPr>
      <w:rFonts w:ascii="Times New Roman" w:eastAsia="Times New Roman" w:hAnsi="Times New Roman"/>
      <w:sz w:val="28"/>
      <w:lang w:val="pt-BR" w:eastAsia="pt-BR" w:bidi="ar-SA"/>
    </w:rPr>
  </w:style>
  <w:style w:type="paragraph" w:customStyle="1" w:styleId="07-Citaolegal-CLG">
    <w:name w:val="07 - Citação legal - CLG"/>
    <w:rsid w:val="00A85ECB"/>
    <w:pPr>
      <w:spacing w:after="120"/>
      <w:ind w:left="1985" w:firstLine="567"/>
      <w:jc w:val="both"/>
    </w:pPr>
    <w:rPr>
      <w:rFonts w:ascii="Times New Roman" w:eastAsia="Times New Roman" w:hAnsi="Times New Roman"/>
      <w:bCs/>
      <w:sz w:val="24"/>
    </w:rPr>
  </w:style>
  <w:style w:type="paragraph" w:customStyle="1" w:styleId="08-Citaolegal-ltimalinha-CLG">
    <w:name w:val="08 - Citação legal - última linha - CLG"/>
    <w:rsid w:val="00A85ECB"/>
    <w:pPr>
      <w:spacing w:after="480"/>
      <w:ind w:left="1985" w:firstLine="567"/>
      <w:jc w:val="both"/>
    </w:pPr>
    <w:rPr>
      <w:rFonts w:ascii="Times New Roman" w:eastAsia="Times New Roman" w:hAnsi="Times New Roman"/>
      <w:sz w:val="24"/>
    </w:rPr>
  </w:style>
  <w:style w:type="paragraph" w:customStyle="1" w:styleId="09-Ttuloemenda-CLG">
    <w:name w:val="09 - Título emenda - CLG"/>
    <w:rsid w:val="00A85ECB"/>
    <w:pPr>
      <w:spacing w:before="480" w:after="360"/>
      <w:jc w:val="center"/>
    </w:pPr>
    <w:rPr>
      <w:rFonts w:ascii="Times New Roman" w:eastAsia="Times New Roman" w:hAnsi="Times New Roman"/>
      <w:b/>
      <w:bCs/>
      <w:spacing w:val="-4"/>
      <w:sz w:val="28"/>
    </w:rPr>
  </w:style>
  <w:style w:type="character" w:styleId="Refdecomentrio">
    <w:name w:val="annotation reference"/>
    <w:uiPriority w:val="99"/>
    <w:semiHidden/>
    <w:unhideWhenUsed/>
    <w:rsid w:val="006D0FA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D0FA6"/>
    <w:pPr>
      <w:spacing w:line="240" w:lineRule="auto"/>
    </w:pPr>
    <w:rPr>
      <w:sz w:val="20"/>
      <w:szCs w:val="20"/>
      <w:lang w:val="x-none" w:eastAsia="x-none"/>
    </w:rPr>
  </w:style>
  <w:style w:type="character" w:customStyle="1" w:styleId="TextodecomentrioChar">
    <w:name w:val="Texto de comentário Char"/>
    <w:link w:val="Textodecomentrio"/>
    <w:uiPriority w:val="99"/>
    <w:semiHidden/>
    <w:rsid w:val="006D0FA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D0FA6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D0FA6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0FA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6D0F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648</Words>
  <Characters>3500</Characters>
  <Application>Microsoft Office Word</Application>
  <DocSecurity>0</DocSecurity>
  <Lines>29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Senado Federal</Company>
  <LinksUpToDate>false</LinksUpToDate>
  <CharactersWithSpaces>4140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Berkeley Alves Ferreira</dc:creator>
  <cp:keywords/>
  <cp:lastModifiedBy>Ewerton Pacheco de Souza</cp:lastModifiedBy>
  <cp:revision>4</cp:revision>
  <dcterms:created xsi:type="dcterms:W3CDTF">2015-11-09T20:08:00Z</dcterms:created>
  <dcterms:modified xsi:type="dcterms:W3CDTF">2016-03-29T21:59:00Z</dcterms:modified>
</cp:coreProperties>
</file>