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A85ECB" w:rsidP="00A85ECB">
      <w:pPr>
        <w:pStyle w:val="01-Minuta-CLG"/>
      </w:pPr>
      <w:bookmarkStart w:id="0" w:name="_GoBack"/>
      <w:bookmarkEnd w:id="0"/>
    </w:p>
    <w:p w:rsidR="00A85ECB" w:rsidRDefault="00C218D0" w:rsidP="00A85ECB">
      <w:pPr>
        <w:pStyle w:val="02-TtuloPrincipal-CLG"/>
      </w:pPr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2016</w:t>
      </w:r>
    </w:p>
    <w:p w:rsidR="00A85ECB" w:rsidRDefault="00C218D0" w:rsidP="00A85ECB">
      <w:pPr>
        <w:pStyle w:val="03-Ementa-CLG"/>
      </w:pPr>
      <w:r>
        <w:t>Da COMISSÃO DE SERVIÇOS DE INFRAESTRUTURA, sobre o Projeto de Lei da Câmara nº 94, de 2015 (Projeto de Lei nº 3</w:t>
      </w:r>
      <w:r w:rsidR="00F32E70">
        <w:t>.</w:t>
      </w:r>
      <w:r>
        <w:t>848</w:t>
      </w:r>
      <w:r w:rsidR="00CF35CA">
        <w:t xml:space="preserve">, de </w:t>
      </w:r>
      <w:r>
        <w:t xml:space="preserve">2012, na Casa de origem), do Deputado Osmar Serraglio, que </w:t>
      </w:r>
      <w:r>
        <w:rPr>
          <w:i/>
        </w:rPr>
        <w:t>altera o § 3º do art. 1º da Lei nº 8.001, de 13 de março de 1990, que define os percentuais da distribuição da compensação financeira de que trata a Lei nº 7.990, de 28 de dezembro de 1989, e dá outras providências</w:t>
      </w:r>
      <w:r>
        <w:t>.</w:t>
      </w:r>
    </w:p>
    <w:p w:rsidR="00A85ECB" w:rsidRDefault="00F32E70" w:rsidP="00A85ECB">
      <w:pPr>
        <w:pStyle w:val="04-Relatoria-CLG"/>
      </w:pPr>
      <w:r>
        <w:t>RELATOR</w:t>
      </w:r>
      <w:r w:rsidR="00C218D0">
        <w:t xml:space="preserve">: Senador </w:t>
      </w:r>
      <w:r w:rsidR="00C218D0">
        <w:rPr>
          <w:b/>
          <w:caps/>
        </w:rPr>
        <w:t>Telmário Mota</w:t>
      </w:r>
    </w:p>
    <w:p w:rsidR="00A85ECB" w:rsidRDefault="00A85ECB" w:rsidP="00A85ECB">
      <w:pPr>
        <w:pStyle w:val="05-Subttulo-CLG"/>
      </w:pPr>
      <w:r>
        <w:t>I – RELATÓRIO</w:t>
      </w:r>
    </w:p>
    <w:p w:rsidR="00A85ECB" w:rsidRDefault="00CF35CA" w:rsidP="00A85ECB">
      <w:pPr>
        <w:pStyle w:val="06-Pargrafodetexto-CLG"/>
      </w:pPr>
      <w:r>
        <w:t>Submete-se à análise des</w:t>
      </w:r>
      <w:r w:rsidR="00F32E70">
        <w:t>t</w:t>
      </w:r>
      <w:r>
        <w:t xml:space="preserve">a Comissão </w:t>
      </w:r>
      <w:r w:rsidR="00301ABF">
        <w:t xml:space="preserve">o </w:t>
      </w:r>
      <w:r>
        <w:t>Projeto de Lei da Câmara</w:t>
      </w:r>
      <w:r w:rsidR="004D4C8D">
        <w:t xml:space="preserve"> (PLC) </w:t>
      </w:r>
      <w:r>
        <w:t>nº 94, de 2015 (Projeto de Lei nº 3</w:t>
      </w:r>
      <w:r w:rsidR="00F32E70">
        <w:t>.</w:t>
      </w:r>
      <w:r>
        <w:t xml:space="preserve">848, de 2012, na casa de origem), de autoria do Deputado Osmar Serraglio, </w:t>
      </w:r>
      <w:r w:rsidR="00754268">
        <w:t xml:space="preserve">que </w:t>
      </w:r>
      <w:r w:rsidR="00C25B2A">
        <w:t xml:space="preserve">modifica a distribuição de </w:t>
      </w:r>
      <w:r w:rsidR="00C25B2A">
        <w:rPr>
          <w:i/>
        </w:rPr>
        <w:t>royalties</w:t>
      </w:r>
      <w:r w:rsidR="00C25B2A">
        <w:t xml:space="preserve"> provenientes da Usina Hidrelétrica de Itaipu.</w:t>
      </w:r>
    </w:p>
    <w:p w:rsidR="006C13AC" w:rsidRDefault="006C13AC" w:rsidP="006C13AC">
      <w:pPr>
        <w:pStyle w:val="06-Pargrafodetexto-CLG"/>
      </w:pPr>
      <w:r w:rsidRPr="00981676">
        <w:t xml:space="preserve">Na Casa de origem, a proposição recebeu pareceres favoráveis das Comissões de </w:t>
      </w:r>
      <w:r>
        <w:t>Minas e Energia</w:t>
      </w:r>
      <w:r w:rsidR="00EE56EC">
        <w:t xml:space="preserve"> (com emenda)</w:t>
      </w:r>
      <w:r>
        <w:t>, de Finanças e T</w:t>
      </w:r>
      <w:r w:rsidRPr="00981676">
        <w:t xml:space="preserve">ributação, e de Constituição e Justiça e Cidadania. </w:t>
      </w:r>
      <w:r>
        <w:t xml:space="preserve">Foi remetida ao Senado Federal em </w:t>
      </w:r>
      <w:r w:rsidR="00EE56EC">
        <w:t>5</w:t>
      </w:r>
      <w:r>
        <w:t xml:space="preserve"> de </w:t>
      </w:r>
      <w:r w:rsidR="00EE56EC">
        <w:t xml:space="preserve">agosto </w:t>
      </w:r>
      <w:r>
        <w:t>de 20</w:t>
      </w:r>
      <w:r w:rsidR="00EE56EC">
        <w:t>15</w:t>
      </w:r>
      <w:r>
        <w:t xml:space="preserve">. </w:t>
      </w:r>
    </w:p>
    <w:p w:rsidR="001C1F01" w:rsidRDefault="00C25B2A" w:rsidP="00A85ECB">
      <w:pPr>
        <w:pStyle w:val="06-Pargrafodetexto-CLG"/>
      </w:pPr>
      <w:r w:rsidRPr="00BD65D9">
        <w:t xml:space="preserve">Trata-se de proposição composta por </w:t>
      </w:r>
      <w:r>
        <w:t xml:space="preserve">dois </w:t>
      </w:r>
      <w:r w:rsidRPr="00BD65D9">
        <w:t>artigos</w:t>
      </w:r>
      <w:r w:rsidR="00301ABF">
        <w:t>:</w:t>
      </w:r>
      <w:r w:rsidR="00F32E70">
        <w:t xml:space="preserve"> </w:t>
      </w:r>
      <w:r w:rsidR="00301ABF">
        <w:t>i) o</w:t>
      </w:r>
      <w:r w:rsidRPr="00BD65D9">
        <w:t xml:space="preserve"> art.</w:t>
      </w:r>
      <w:r>
        <w:t xml:space="preserve"> </w:t>
      </w:r>
      <w:r w:rsidRPr="00BD65D9">
        <w:t xml:space="preserve">1º modifica o </w:t>
      </w:r>
      <w:r>
        <w:t xml:space="preserve">§ 3º do art. 1º da </w:t>
      </w:r>
      <w:r w:rsidRPr="00BD65D9">
        <w:t xml:space="preserve">Lei n° </w:t>
      </w:r>
      <w:r>
        <w:t>8</w:t>
      </w:r>
      <w:r w:rsidRPr="00BD65D9">
        <w:t>.</w:t>
      </w:r>
      <w:r>
        <w:t>001</w:t>
      </w:r>
      <w:r w:rsidRPr="00BD65D9">
        <w:t xml:space="preserve">, de </w:t>
      </w:r>
      <w:r>
        <w:t>13</w:t>
      </w:r>
      <w:r w:rsidRPr="00BD65D9">
        <w:t xml:space="preserve"> de </w:t>
      </w:r>
      <w:r>
        <w:t xml:space="preserve">março </w:t>
      </w:r>
      <w:r w:rsidRPr="00BD65D9">
        <w:t>de 19</w:t>
      </w:r>
      <w:r>
        <w:t>90</w:t>
      </w:r>
      <w:r w:rsidRPr="00BD65D9">
        <w:t xml:space="preserve">, de modo que </w:t>
      </w:r>
      <w:r>
        <w:t xml:space="preserve">seja assegurado ao </w:t>
      </w:r>
      <w:r w:rsidR="003A3781">
        <w:t xml:space="preserve">Município </w:t>
      </w:r>
      <w:r>
        <w:t>de Guaíra, Estado do Paraná, 6,12% da</w:t>
      </w:r>
    </w:p>
    <w:p w:rsidR="00C25B2A" w:rsidRDefault="00C25B2A" w:rsidP="001C1F01">
      <w:pPr>
        <w:pStyle w:val="06-Pargrafodetexto-CLG"/>
        <w:ind w:firstLine="0"/>
      </w:pPr>
      <w:proofErr w:type="gramStart"/>
      <w:r>
        <w:lastRenderedPageBreak/>
        <w:t>distribuição</w:t>
      </w:r>
      <w:proofErr w:type="gramEnd"/>
      <w:r>
        <w:t xml:space="preserve"> dos</w:t>
      </w:r>
      <w:r w:rsidRPr="00BD65D9">
        <w:t xml:space="preserve"> </w:t>
      </w:r>
      <w:r>
        <w:rPr>
          <w:i/>
        </w:rPr>
        <w:t>royalties</w:t>
      </w:r>
      <w:r>
        <w:t xml:space="preserve"> devidos pela Itaipu Binacional ao Brasil</w:t>
      </w:r>
      <w:r w:rsidR="003A3781">
        <w:t xml:space="preserve">; </w:t>
      </w:r>
      <w:proofErr w:type="spellStart"/>
      <w:r w:rsidR="003A3781">
        <w:t>ii</w:t>
      </w:r>
      <w:proofErr w:type="spellEnd"/>
      <w:r w:rsidR="003A3781">
        <w:t>) o</w:t>
      </w:r>
      <w:r>
        <w:t xml:space="preserve"> art. 2º, por sua vez, estabelece </w:t>
      </w:r>
      <w:r w:rsidR="003A3781">
        <w:t>a</w:t>
      </w:r>
      <w:r>
        <w:t xml:space="preserve"> vigência</w:t>
      </w:r>
      <w:r w:rsidR="003A3781">
        <w:t xml:space="preserve"> a Lei a partir de sua publicação</w:t>
      </w:r>
      <w:r>
        <w:t>.</w:t>
      </w:r>
    </w:p>
    <w:p w:rsidR="00C25B2A" w:rsidRDefault="00C25B2A" w:rsidP="00A85ECB">
      <w:pPr>
        <w:pStyle w:val="06-Pargrafodetexto-CLG"/>
      </w:pPr>
      <w:r>
        <w:t xml:space="preserve">O nobre Deputado Osmar Serraglio argumenta que </w:t>
      </w:r>
      <w:r w:rsidR="000B244A">
        <w:t>a submersão, em 1982, do Salto de Sete Quedas, como consequência da obra da hidrelétrica, resultou no</w:t>
      </w:r>
      <w:r>
        <w:t xml:space="preserve"> estancamento do fluxo turístico, que tanto beneficiava aquele </w:t>
      </w:r>
      <w:r w:rsidR="003A3781">
        <w:t>Município</w:t>
      </w:r>
      <w:r w:rsidR="000B244A">
        <w:t>. Entretanto, a participação a que teve direito não foi suficiente para reparar as perdas com a atividade turística.</w:t>
      </w:r>
    </w:p>
    <w:p w:rsidR="00EE56EC" w:rsidRPr="003311AC" w:rsidRDefault="00EE56EC" w:rsidP="00EE56EC">
      <w:pPr>
        <w:pStyle w:val="06-Pargrafodetexto-CLG"/>
      </w:pPr>
      <w:r w:rsidRPr="00F8542D">
        <w:rPr>
          <w:bCs/>
          <w:lang w:val="pt-PT"/>
        </w:rPr>
        <w:t xml:space="preserve">A proposição </w:t>
      </w:r>
      <w:r w:rsidR="008F0100">
        <w:rPr>
          <w:bCs/>
          <w:lang w:val="pt-PT"/>
        </w:rPr>
        <w:t xml:space="preserve">foi </w:t>
      </w:r>
      <w:r>
        <w:rPr>
          <w:bCs/>
          <w:lang w:val="pt-PT"/>
        </w:rPr>
        <w:t>r</w:t>
      </w:r>
      <w:r>
        <w:rPr>
          <w:lang w:val="pt-PT"/>
        </w:rPr>
        <w:t xml:space="preserve">emetida às </w:t>
      </w:r>
      <w:r w:rsidRPr="006277F6">
        <w:rPr>
          <w:lang w:val="pt-PT"/>
        </w:rPr>
        <w:t xml:space="preserve">Comissões de </w:t>
      </w:r>
      <w:r>
        <w:rPr>
          <w:lang w:val="pt-PT"/>
        </w:rPr>
        <w:t>Serviços de Infraestrutura</w:t>
      </w:r>
      <w:r w:rsidRPr="006277F6">
        <w:rPr>
          <w:lang w:val="pt-PT"/>
        </w:rPr>
        <w:t xml:space="preserve"> e de Assuntos Econômicos</w:t>
      </w:r>
      <w:r>
        <w:rPr>
          <w:lang w:val="pt-PT"/>
        </w:rPr>
        <w:t xml:space="preserve">. Não </w:t>
      </w:r>
      <w:r w:rsidR="00F32E70">
        <w:rPr>
          <w:lang w:val="pt-PT"/>
        </w:rPr>
        <w:t>foram apresentadas</w:t>
      </w:r>
      <w:r>
        <w:rPr>
          <w:lang w:val="pt-PT"/>
        </w:rPr>
        <w:t xml:space="preserve"> emendas no prazo regimental.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F2337D" w:rsidRDefault="00F2337D" w:rsidP="00F2337D">
      <w:pPr>
        <w:pStyle w:val="06-Pargrafodetexto-CLG"/>
      </w:pPr>
      <w:r>
        <w:t xml:space="preserve">Nos termos do art. 104 do Regimento Interno do Senado Federal, compete à Comissão de Serviços de Infraestrutura (CI) opinar sobre matérias atinentes a agências reguladoras </w:t>
      </w:r>
      <w:r w:rsidR="002C394A">
        <w:t>e temas correlatos.</w:t>
      </w:r>
      <w:r>
        <w:t xml:space="preserve"> A Lei nº </w:t>
      </w:r>
      <w:r w:rsidR="002C394A">
        <w:t>8</w:t>
      </w:r>
      <w:r>
        <w:t>.</w:t>
      </w:r>
      <w:r w:rsidR="002C394A">
        <w:t>001</w:t>
      </w:r>
      <w:r>
        <w:t>, de 199</w:t>
      </w:r>
      <w:r w:rsidR="002C394A">
        <w:t>0</w:t>
      </w:r>
      <w:r>
        <w:t xml:space="preserve">, </w:t>
      </w:r>
      <w:r w:rsidR="002C394A">
        <w:t>trata da distribuição da participação nos resultados da exploração de recursos naturais</w:t>
      </w:r>
      <w:r w:rsidR="004D4C8D">
        <w:t>.</w:t>
      </w:r>
    </w:p>
    <w:p w:rsidR="004D4C8D" w:rsidRDefault="004D4C8D" w:rsidP="00F2337D">
      <w:pPr>
        <w:pStyle w:val="06-Pargrafodetexto-CLG"/>
      </w:pPr>
      <w:r>
        <w:t xml:space="preserve">O PLC nº 94, de 2015, atende aos quesitos de constitucionalidade, pois a União é competente para legislar sobre energia, nos termos do art. 22, inciso IV, e, também, encontra fundamento no art. 20, § 1º, da Constituição da República Federativa do Brasil (CRFB), que assegura a participação no resultado da exploração de recursos hídricos para fins de geração de energia elétrica aos </w:t>
      </w:r>
      <w:r w:rsidR="003A3781">
        <w:t>Estados</w:t>
      </w:r>
      <w:r>
        <w:t xml:space="preserve">, ao Distrito Federal e aos </w:t>
      </w:r>
      <w:r w:rsidR="003A3781">
        <w:t>Municípios</w:t>
      </w:r>
      <w:r>
        <w:t>, nos termos da lei.</w:t>
      </w:r>
    </w:p>
    <w:p w:rsidR="00E82FA0" w:rsidRDefault="00E82FA0" w:rsidP="00E82FA0">
      <w:pPr>
        <w:pStyle w:val="06-Pargrafodetexto-CLG"/>
        <w:rPr>
          <w:iCs/>
        </w:rPr>
      </w:pPr>
      <w:r>
        <w:rPr>
          <w:iCs/>
        </w:rPr>
        <w:t>Quanto</w:t>
      </w:r>
      <w:r w:rsidRPr="006342E4">
        <w:rPr>
          <w:iCs/>
        </w:rPr>
        <w:t xml:space="preserve"> à juridicidade, o projeto se afigura irretocável, porquanto </w:t>
      </w:r>
      <w:r w:rsidRPr="006342E4">
        <w:rPr>
          <w:i/>
        </w:rPr>
        <w:t>i)</w:t>
      </w:r>
      <w:r w:rsidRPr="006342E4">
        <w:rPr>
          <w:iCs/>
        </w:rPr>
        <w:t xml:space="preserve"> o </w:t>
      </w:r>
      <w:r w:rsidRPr="006342E4">
        <w:rPr>
          <w:i/>
        </w:rPr>
        <w:t>meio</w:t>
      </w:r>
      <w:r w:rsidRPr="006342E4">
        <w:rPr>
          <w:iCs/>
        </w:rPr>
        <w:t xml:space="preserve"> eleito para o alcance dos objetivos pretendidos (normatização via edição de lei) é o adequado; </w:t>
      </w:r>
      <w:proofErr w:type="spellStart"/>
      <w:r w:rsidRPr="006342E4">
        <w:rPr>
          <w:i/>
        </w:rPr>
        <w:t>ii</w:t>
      </w:r>
      <w:proofErr w:type="spellEnd"/>
      <w:r w:rsidRPr="006342E4">
        <w:rPr>
          <w:i/>
        </w:rPr>
        <w:t>)</w:t>
      </w:r>
      <w:r w:rsidRPr="006342E4">
        <w:rPr>
          <w:iCs/>
        </w:rPr>
        <w:t xml:space="preserve"> a matéria nele vertida </w:t>
      </w:r>
      <w:r w:rsidRPr="006342E4">
        <w:rPr>
          <w:i/>
        </w:rPr>
        <w:t xml:space="preserve">inova </w:t>
      </w:r>
      <w:r w:rsidRPr="006342E4">
        <w:rPr>
          <w:iCs/>
        </w:rPr>
        <w:t xml:space="preserve">o ordenamento jurídico; </w:t>
      </w:r>
      <w:proofErr w:type="spellStart"/>
      <w:r w:rsidRPr="006342E4">
        <w:rPr>
          <w:i/>
        </w:rPr>
        <w:t>iii</w:t>
      </w:r>
      <w:proofErr w:type="spellEnd"/>
      <w:r w:rsidRPr="006342E4">
        <w:rPr>
          <w:i/>
        </w:rPr>
        <w:t>)</w:t>
      </w:r>
      <w:r w:rsidRPr="006342E4">
        <w:rPr>
          <w:iCs/>
        </w:rPr>
        <w:t xml:space="preserve"> possui o atributo da </w:t>
      </w:r>
      <w:r w:rsidRPr="006342E4">
        <w:rPr>
          <w:i/>
        </w:rPr>
        <w:t>generalidade</w:t>
      </w:r>
      <w:r w:rsidRPr="006342E4">
        <w:rPr>
          <w:iCs/>
        </w:rPr>
        <w:t xml:space="preserve">; </w:t>
      </w:r>
      <w:proofErr w:type="spellStart"/>
      <w:r w:rsidRPr="006342E4">
        <w:rPr>
          <w:i/>
        </w:rPr>
        <w:t>iv</w:t>
      </w:r>
      <w:proofErr w:type="spellEnd"/>
      <w:r w:rsidRPr="006342E4">
        <w:rPr>
          <w:i/>
        </w:rPr>
        <w:t>)</w:t>
      </w:r>
      <w:r w:rsidRPr="006342E4">
        <w:rPr>
          <w:iCs/>
        </w:rPr>
        <w:t xml:space="preserve"> é consentâneo com os </w:t>
      </w:r>
      <w:r w:rsidRPr="006342E4">
        <w:rPr>
          <w:i/>
        </w:rPr>
        <w:t>princípios gerais do Direito</w:t>
      </w:r>
      <w:r w:rsidRPr="006342E4">
        <w:rPr>
          <w:iCs/>
        </w:rPr>
        <w:t xml:space="preserve">; e </w:t>
      </w:r>
      <w:r w:rsidRPr="006342E4">
        <w:rPr>
          <w:i/>
        </w:rPr>
        <w:t>v)</w:t>
      </w:r>
      <w:r w:rsidRPr="006342E4">
        <w:rPr>
          <w:iCs/>
        </w:rPr>
        <w:t xml:space="preserve"> se afigura dotado de potencial </w:t>
      </w:r>
      <w:proofErr w:type="spellStart"/>
      <w:r w:rsidRPr="006342E4">
        <w:rPr>
          <w:i/>
        </w:rPr>
        <w:t>coercitividade</w:t>
      </w:r>
      <w:proofErr w:type="spellEnd"/>
      <w:r w:rsidRPr="006342E4">
        <w:rPr>
          <w:iCs/>
        </w:rPr>
        <w:t>.</w:t>
      </w:r>
    </w:p>
    <w:p w:rsidR="00E82FA0" w:rsidRDefault="00E82FA0" w:rsidP="00E82FA0">
      <w:pPr>
        <w:pStyle w:val="06-Pargrafodetexto-CLG"/>
      </w:pPr>
      <w:r>
        <w:lastRenderedPageBreak/>
        <w:t xml:space="preserve">Quanto à </w:t>
      </w:r>
      <w:r w:rsidRPr="005F3D51">
        <w:t>técnica legislativa</w:t>
      </w:r>
      <w:r>
        <w:t xml:space="preserve">, há possibilidade de aperfeiçoamento. Trata-se da </w:t>
      </w:r>
      <w:r w:rsidRPr="005F3D51">
        <w:t xml:space="preserve">ementa </w:t>
      </w:r>
      <w:r>
        <w:t xml:space="preserve">da proposição, </w:t>
      </w:r>
      <w:r w:rsidRPr="005F3D51">
        <w:t>que, por ser pouco elucidativa, deixa de prestar informações</w:t>
      </w:r>
      <w:r>
        <w:t>, ainda que concisas,</w:t>
      </w:r>
      <w:r w:rsidRPr="005F3D51">
        <w:t xml:space="preserve"> sobre o objeto da </w:t>
      </w:r>
      <w:r>
        <w:t xml:space="preserve">nova disciplina, afrontando </w:t>
      </w:r>
      <w:r w:rsidRPr="005F3D51">
        <w:t>o disposto no art. 5º da Lei Complementar nº 95, de 26 de fevereiro de 1998, que dispõe sobre elaboração, a redação, a alteração e a consolidação das leis.</w:t>
      </w:r>
    </w:p>
    <w:p w:rsidR="00E82FA0" w:rsidRDefault="00E82FA0" w:rsidP="00E82FA0">
      <w:pPr>
        <w:pStyle w:val="06-Pargrafodetexto-CLG"/>
      </w:pPr>
      <w:r>
        <w:t>No mérito, podemos elucidar alguns pontos relevantes:</w:t>
      </w:r>
    </w:p>
    <w:p w:rsidR="00E82FA0" w:rsidRDefault="00E82FA0" w:rsidP="00E82FA0">
      <w:pPr>
        <w:pStyle w:val="06-Pargrafodetexto-CLG"/>
      </w:pPr>
      <w:r>
        <w:t xml:space="preserve">Os royalties pagos pela Itaipu Binacional derivam da previsão </w:t>
      </w:r>
      <w:r w:rsidR="000F3B90">
        <w:t xml:space="preserve">i) </w:t>
      </w:r>
      <w:r>
        <w:t>no Tratado de Itaipu</w:t>
      </w:r>
      <w:r w:rsidR="000F3B90">
        <w:t xml:space="preserve">, em seu anexo C; </w:t>
      </w:r>
      <w:proofErr w:type="spellStart"/>
      <w:r w:rsidR="000F3B90">
        <w:t>ii</w:t>
      </w:r>
      <w:proofErr w:type="spellEnd"/>
      <w:r w:rsidR="000F3B90">
        <w:t>) na C</w:t>
      </w:r>
      <w:r w:rsidR="008F0100">
        <w:t>onstituição Federal</w:t>
      </w:r>
      <w:r w:rsidR="000F3B90">
        <w:t xml:space="preserve">, em seu art. 20, § 1º; </w:t>
      </w:r>
      <w:r w:rsidR="00CF6B5B">
        <w:t>e</w:t>
      </w:r>
      <w:r w:rsidR="000F3B90">
        <w:t xml:space="preserve"> </w:t>
      </w:r>
      <w:proofErr w:type="spellStart"/>
      <w:r w:rsidR="000F3B90">
        <w:t>iii</w:t>
      </w:r>
      <w:proofErr w:type="spellEnd"/>
      <w:r w:rsidR="000F3B90">
        <w:t>) na Lei nº 8.001, de 1990, que é o objeto de aperfeiçoamento pelo legislativo ora em discussão.</w:t>
      </w:r>
    </w:p>
    <w:p w:rsidR="000F3B90" w:rsidRPr="000F3B90" w:rsidRDefault="000F3B90" w:rsidP="00E82FA0">
      <w:pPr>
        <w:pStyle w:val="06-Pargrafodetexto-CLG"/>
      </w:pPr>
      <w:r>
        <w:t xml:space="preserve">O cálculo dos </w:t>
      </w:r>
      <w:r>
        <w:rPr>
          <w:i/>
        </w:rPr>
        <w:t>royalties</w:t>
      </w:r>
      <w:r>
        <w:t xml:space="preserve"> devidos corresponde ao produto entre a energia gerada, em </w:t>
      </w:r>
      <w:proofErr w:type="spellStart"/>
      <w:r>
        <w:t>gigawatt-hora</w:t>
      </w:r>
      <w:proofErr w:type="spellEnd"/>
      <w:r>
        <w:t xml:space="preserve"> (</w:t>
      </w:r>
      <w:proofErr w:type="spellStart"/>
      <w:r>
        <w:t>GWh</w:t>
      </w:r>
      <w:proofErr w:type="spellEnd"/>
      <w:r>
        <w:t xml:space="preserve">), o fator K, atualmente igual a 4, a taxa de câmbio e o valor previsto no anexo C do Tratado de Itaipu, de US$ 650 por </w:t>
      </w:r>
      <w:proofErr w:type="spellStart"/>
      <w:r>
        <w:t>GWh</w:t>
      </w:r>
      <w:proofErr w:type="spellEnd"/>
      <w:r>
        <w:t>. O montante total é dividido entre Brasil e Paraguai.</w:t>
      </w:r>
    </w:p>
    <w:p w:rsidR="00961E2C" w:rsidRPr="00961E2C" w:rsidRDefault="00FF02BE" w:rsidP="00E82FA0">
      <w:pPr>
        <w:pStyle w:val="06-Pargrafodetexto-CLG"/>
      </w:pPr>
      <w:r>
        <w:t xml:space="preserve">Em 2015, </w:t>
      </w:r>
      <w:r w:rsidR="001D0F6F">
        <w:t>foram distribuídos pouco menos de R$ 792 milhões</w:t>
      </w:r>
      <w:r w:rsidR="0061445C">
        <w:t xml:space="preserve">, sendo o Município de Guaíra </w:t>
      </w:r>
      <w:r w:rsidR="003A3781">
        <w:t xml:space="preserve">recebedor </w:t>
      </w:r>
      <w:r w:rsidR="0061445C">
        <w:t xml:space="preserve">de R$ 14,72 milhões desse total.  Atualmente, os </w:t>
      </w:r>
      <w:r w:rsidR="0061445C" w:rsidRPr="00961E2C">
        <w:rPr>
          <w:i/>
        </w:rPr>
        <w:t>royalties</w:t>
      </w:r>
      <w:r w:rsidR="0061445C">
        <w:t xml:space="preserve"> de Itaipu são distribuídos entre 347 Municípios e seis Estados.</w:t>
      </w:r>
    </w:p>
    <w:p w:rsidR="00A85ECB" w:rsidRPr="00433B79" w:rsidRDefault="00FF02BE" w:rsidP="00A85ECB">
      <w:pPr>
        <w:pStyle w:val="06-Pargrafodetexto-CLG"/>
      </w:pPr>
      <w:r>
        <w:t>O PLC nº 94, de 2015, não aumenta o custo para o consumidor final</w:t>
      </w:r>
      <w:r w:rsidR="000921BF">
        <w:t>,</w:t>
      </w:r>
      <w:r>
        <w:t xml:space="preserve"> </w:t>
      </w:r>
      <w:r w:rsidR="000921BF">
        <w:t>por</w:t>
      </w:r>
      <w:r>
        <w:t xml:space="preserve"> alterar apenas a distribuição da parcela que cabe ao Brasil.</w:t>
      </w:r>
      <w:r w:rsidR="0061445C">
        <w:t xml:space="preserve"> Dessa forma, não </w:t>
      </w:r>
      <w:r w:rsidR="000921BF">
        <w:t xml:space="preserve">vemos </w:t>
      </w:r>
      <w:r w:rsidR="0061445C">
        <w:t>óbice para aprovação da proposição, cabendo à Comissão de Assuntos Econômicos avaliar o impacto da mudança proposta nas finanças dos entes da federação que perderão receita em detrimento do ganho do Município de Guaíra.</w:t>
      </w:r>
    </w:p>
    <w:p w:rsidR="001C1F01" w:rsidRDefault="001C1F01" w:rsidP="00A85ECB">
      <w:pPr>
        <w:pStyle w:val="05-Subttulo-CLG"/>
      </w:pPr>
    </w:p>
    <w:p w:rsidR="00A85ECB" w:rsidRDefault="00A85ECB" w:rsidP="00A85ECB">
      <w:pPr>
        <w:pStyle w:val="05-Subttulo-CLG"/>
      </w:pPr>
      <w:r>
        <w:t>III – VOTO</w:t>
      </w:r>
    </w:p>
    <w:p w:rsidR="0061445C" w:rsidRDefault="0061445C" w:rsidP="0061445C">
      <w:pPr>
        <w:pStyle w:val="06-Pargrafodetexto-CLG"/>
      </w:pPr>
      <w:r>
        <w:t xml:space="preserve">Pelo exposto, nos manifestamos pela constitucionalidade, </w:t>
      </w:r>
      <w:proofErr w:type="spellStart"/>
      <w:r>
        <w:t>regimentalidade</w:t>
      </w:r>
      <w:proofErr w:type="spellEnd"/>
      <w:r>
        <w:t>, juridicidade, e boa técnica legislativa, com emenda. No mérito, somos pela aprovação do Projeto de Lei da Câmara nº 94, de 2015.</w:t>
      </w:r>
    </w:p>
    <w:p w:rsidR="0061445C" w:rsidRDefault="0061445C" w:rsidP="0061445C">
      <w:pPr>
        <w:pStyle w:val="09-Ttuloemenda-CLG"/>
      </w:pPr>
      <w:r>
        <w:tab/>
        <w:t>EMENDA Nº 1 -CI</w:t>
      </w:r>
    </w:p>
    <w:p w:rsidR="0061445C" w:rsidRDefault="0061445C" w:rsidP="0061445C">
      <w:pPr>
        <w:pStyle w:val="06-Pargrafodetexto-CLG"/>
      </w:pPr>
      <w:r>
        <w:t>D</w:t>
      </w:r>
      <w:r w:rsidR="002D1C00">
        <w:t>ê-</w:t>
      </w:r>
      <w:r>
        <w:t>se a ementa do PLC nº 94, de 2015, a seguinte redação:</w:t>
      </w:r>
    </w:p>
    <w:p w:rsidR="00A85ECB" w:rsidRPr="00433B79" w:rsidRDefault="002D1C00" w:rsidP="002D1C00">
      <w:pPr>
        <w:pStyle w:val="03-Ementa-CLG"/>
      </w:pPr>
      <w:r>
        <w:t>“</w:t>
      </w:r>
      <w:r w:rsidRPr="004F23B6">
        <w:t>A</w:t>
      </w:r>
      <w:r>
        <w:rPr>
          <w:i/>
        </w:rPr>
        <w:t>ltera o § 3º do art. 1º da Lei nº 8.001, de 13 de março de 1990, para aumentar o percentual de participação do Município de Guaíra na distribuição dos royalties devidos pela Itaipu Binacional ao Brasil</w:t>
      </w:r>
      <w:r w:rsidR="00F32E70">
        <w:rPr>
          <w:i/>
        </w:rPr>
        <w:t>.</w:t>
      </w:r>
      <w:r>
        <w:t>”</w:t>
      </w:r>
    </w:p>
    <w:p w:rsidR="00A85ECB" w:rsidRDefault="00C218D0" w:rsidP="00A85ECB">
      <w:pPr>
        <w:pStyle w:val="10-Local-CLG"/>
      </w:pPr>
      <w:r>
        <w:t>Sala da Comissão,</w:t>
      </w:r>
    </w:p>
    <w:p w:rsidR="00A85ECB" w:rsidRPr="00724990" w:rsidRDefault="00A85ECB" w:rsidP="00A85ECB">
      <w:pPr>
        <w:pStyle w:val="11-Assinaturas-CLG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A85ECB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16C" w:rsidRDefault="0074116C" w:rsidP="00A85ECB">
      <w:pPr>
        <w:spacing w:after="0" w:line="240" w:lineRule="auto"/>
      </w:pPr>
      <w:r>
        <w:separator/>
      </w:r>
    </w:p>
  </w:endnote>
  <w:endnote w:type="continuationSeparator" w:id="0">
    <w:p w:rsidR="0074116C" w:rsidRDefault="0074116C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01" w:rsidRDefault="001C1F01" w:rsidP="001C1F01">
    <w:pPr>
      <w:pStyle w:val="Rodap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0BCBC68" wp14:editId="4394BA59">
          <wp:simplePos x="0" y="0"/>
          <wp:positionH relativeFrom="column">
            <wp:posOffset>-1108710</wp:posOffset>
          </wp:positionH>
          <wp:positionV relativeFrom="paragraph">
            <wp:posOffset>-200660</wp:posOffset>
          </wp:positionV>
          <wp:extent cx="7904480" cy="190500"/>
          <wp:effectExtent l="19050" t="0" r="1270" b="0"/>
          <wp:wrapNone/>
          <wp:docPr id="3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448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>__________________________________________________________________________________________________________</w:t>
    </w:r>
  </w:p>
  <w:p w:rsidR="001C1F01" w:rsidRPr="005D5BD4" w:rsidRDefault="001C1F01" w:rsidP="001C1F01">
    <w:pPr>
      <w:pStyle w:val="Rodap"/>
      <w:jc w:val="center"/>
      <w:rPr>
        <w:sz w:val="20"/>
        <w:szCs w:val="20"/>
      </w:rPr>
    </w:pPr>
    <w:r w:rsidRPr="005D5BD4">
      <w:rPr>
        <w:sz w:val="20"/>
        <w:szCs w:val="20"/>
      </w:rPr>
      <w:t>Senado Federal - Anexo II - Ala Senador Ruy Carneiro - gabinete nº 3</w:t>
    </w:r>
  </w:p>
  <w:p w:rsidR="001C1F01" w:rsidRPr="005D5BD4" w:rsidRDefault="001C1F01" w:rsidP="001C1F01">
    <w:pPr>
      <w:pStyle w:val="Rodap"/>
      <w:jc w:val="center"/>
      <w:rPr>
        <w:sz w:val="20"/>
        <w:szCs w:val="20"/>
      </w:rPr>
    </w:pPr>
    <w:r w:rsidRPr="005D5BD4">
      <w:rPr>
        <w:sz w:val="20"/>
        <w:szCs w:val="20"/>
      </w:rPr>
      <w:t>CEP 70165-900 – Brasília / DF</w:t>
    </w:r>
  </w:p>
  <w:p w:rsidR="00D11C2C" w:rsidRPr="001C1F01" w:rsidRDefault="001C1F01" w:rsidP="001C1F01">
    <w:pPr>
      <w:pStyle w:val="Rodap"/>
    </w:pPr>
    <w:r>
      <w:rPr>
        <w:sz w:val="20"/>
        <w:szCs w:val="20"/>
      </w:rPr>
      <w:t>F</w:t>
    </w:r>
    <w:r w:rsidRPr="005D5BD4">
      <w:rPr>
        <w:sz w:val="20"/>
        <w:szCs w:val="20"/>
      </w:rPr>
      <w:t xml:space="preserve">one: (61) 3303-6315 – fax: (61) 3303-6314 - e-mail: </w:t>
    </w:r>
    <w:r w:rsidRPr="005D5BD4">
      <w:rPr>
        <w:sz w:val="20"/>
        <w:szCs w:val="20"/>
        <w:u w:val="single"/>
      </w:rPr>
      <w:t>sen.telmariomota@senador.leg.br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01" w:rsidRDefault="00385A9D" w:rsidP="001C1F01">
    <w:pPr>
      <w:pStyle w:val="Rodap"/>
      <w:jc w:val="center"/>
      <w:rPr>
        <w:sz w:val="16"/>
        <w:szCs w:val="16"/>
      </w:rPr>
    </w:pPr>
    <w:r w:rsidRPr="00342E7D">
      <w:rPr>
        <w:i/>
        <w:sz w:val="18"/>
        <w:szCs w:val="18"/>
      </w:rPr>
      <w:t xml:space="preserve"> </w:t>
    </w:r>
    <w:r w:rsidR="001C1F0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698F398" wp14:editId="54C5D9E5">
          <wp:simplePos x="0" y="0"/>
          <wp:positionH relativeFrom="column">
            <wp:posOffset>-1108710</wp:posOffset>
          </wp:positionH>
          <wp:positionV relativeFrom="paragraph">
            <wp:posOffset>-200660</wp:posOffset>
          </wp:positionV>
          <wp:extent cx="7904480" cy="190500"/>
          <wp:effectExtent l="19050" t="0" r="1270" b="0"/>
          <wp:wrapNone/>
          <wp:docPr id="4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448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F01">
      <w:rPr>
        <w:sz w:val="16"/>
        <w:szCs w:val="16"/>
      </w:rPr>
      <w:t>__________________________________________________________________________________________________________</w:t>
    </w:r>
  </w:p>
  <w:p w:rsidR="001C1F01" w:rsidRPr="005D5BD4" w:rsidRDefault="001C1F01" w:rsidP="001C1F01">
    <w:pPr>
      <w:pStyle w:val="Rodap"/>
      <w:jc w:val="center"/>
      <w:rPr>
        <w:sz w:val="20"/>
        <w:szCs w:val="20"/>
      </w:rPr>
    </w:pPr>
    <w:r w:rsidRPr="005D5BD4">
      <w:rPr>
        <w:sz w:val="20"/>
        <w:szCs w:val="20"/>
      </w:rPr>
      <w:t>Senado Federal - Anexo II - Ala Senador Ruy Carneiro - gabinete nº 3</w:t>
    </w:r>
  </w:p>
  <w:p w:rsidR="001C1F01" w:rsidRPr="005D5BD4" w:rsidRDefault="001C1F01" w:rsidP="001C1F01">
    <w:pPr>
      <w:pStyle w:val="Rodap"/>
      <w:jc w:val="center"/>
      <w:rPr>
        <w:sz w:val="20"/>
        <w:szCs w:val="20"/>
      </w:rPr>
    </w:pPr>
    <w:r w:rsidRPr="005D5BD4">
      <w:rPr>
        <w:sz w:val="20"/>
        <w:szCs w:val="20"/>
      </w:rPr>
      <w:t>CEP 70165-900 – Brasília / DF</w:t>
    </w:r>
  </w:p>
  <w:p w:rsidR="00D11C2C" w:rsidRPr="001C1F01" w:rsidRDefault="001C1F01">
    <w:pPr>
      <w:pStyle w:val="Rodap"/>
    </w:pPr>
    <w:r>
      <w:rPr>
        <w:sz w:val="20"/>
        <w:szCs w:val="20"/>
      </w:rPr>
      <w:t>F</w:t>
    </w:r>
    <w:r w:rsidRPr="005D5BD4">
      <w:rPr>
        <w:sz w:val="20"/>
        <w:szCs w:val="20"/>
      </w:rPr>
      <w:t xml:space="preserve">one: (61) 3303-6315 – fax: (61) 3303-6314 - e-mail: </w:t>
    </w:r>
    <w:r w:rsidRPr="005D5BD4">
      <w:rPr>
        <w:sz w:val="20"/>
        <w:szCs w:val="20"/>
        <w:u w:val="single"/>
      </w:rPr>
      <w:t>sen.telmariomota@senador.leg.br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16C" w:rsidRDefault="0074116C" w:rsidP="00A85ECB">
      <w:pPr>
        <w:spacing w:after="0" w:line="240" w:lineRule="auto"/>
      </w:pPr>
      <w:r>
        <w:separator/>
      </w:r>
    </w:p>
  </w:footnote>
  <w:footnote w:type="continuationSeparator" w:id="0">
    <w:p w:rsidR="0074116C" w:rsidRDefault="0074116C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11C2C" w:rsidRDefault="00A4148C">
    <w:pPr>
      <w:pStyle w:val="Cabealho"/>
      <w:ind w:right="360"/>
    </w:pPr>
  </w:p>
  <w:p w:rsidR="00D11C2C" w:rsidRDefault="00A4148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148C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D11C2C" w:rsidRDefault="00A4148C">
    <w:pPr>
      <w:pStyle w:val="Cabealho"/>
      <w:ind w:right="360"/>
    </w:pPr>
  </w:p>
  <w:p w:rsidR="001C1F01" w:rsidRDefault="001C1F01" w:rsidP="001C1F01">
    <w:pPr>
      <w:pStyle w:val="Cabealho"/>
      <w:jc w:val="center"/>
    </w:pPr>
    <w:r>
      <w:rPr>
        <w:noProof/>
      </w:rPr>
      <w:drawing>
        <wp:inline distT="0" distB="0" distL="0" distR="0" wp14:anchorId="33ADA461" wp14:editId="2787E15A">
          <wp:extent cx="837854" cy="899160"/>
          <wp:effectExtent l="19050" t="0" r="346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854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1F01" w:rsidRDefault="001C1F01" w:rsidP="001C1F01">
    <w:pPr>
      <w:pStyle w:val="Cabealho"/>
      <w:jc w:val="center"/>
    </w:pPr>
    <w:r>
      <w:t>SENADO FEDERAL</w:t>
    </w:r>
  </w:p>
  <w:p w:rsidR="00D11C2C" w:rsidRDefault="001C1F01" w:rsidP="001C1F01">
    <w:pPr>
      <w:jc w:val="center"/>
    </w:pPr>
    <w:r w:rsidRPr="002E249F">
      <w:t>Senador</w:t>
    </w:r>
    <w:r>
      <w:t xml:space="preserve"> TELMARIO MOTA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01" w:rsidRDefault="001C1F01" w:rsidP="001C1F01">
    <w:pPr>
      <w:pStyle w:val="Cabealho"/>
      <w:jc w:val="center"/>
    </w:pPr>
    <w:r>
      <w:rPr>
        <w:noProof/>
      </w:rPr>
      <w:drawing>
        <wp:inline distT="0" distB="0" distL="0" distR="0" wp14:anchorId="5AE5491A" wp14:editId="2932555F">
          <wp:extent cx="837854" cy="899160"/>
          <wp:effectExtent l="19050" t="0" r="346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854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1F01" w:rsidRDefault="001C1F01" w:rsidP="001C1F01">
    <w:pPr>
      <w:pStyle w:val="Cabealho"/>
      <w:jc w:val="center"/>
    </w:pPr>
    <w:r>
      <w:t>SENADO FEDERAL</w:t>
    </w:r>
  </w:p>
  <w:p w:rsidR="001C1F01" w:rsidRDefault="001C1F01" w:rsidP="001C1F01">
    <w:pPr>
      <w:pStyle w:val="Cabealho"/>
      <w:jc w:val="center"/>
    </w:pPr>
    <w:r w:rsidRPr="002E249F">
      <w:t>Senador</w:t>
    </w:r>
    <w:r>
      <w:t xml:space="preserve"> TELMARIO MOTA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27393"/>
    <w:rsid w:val="0003485E"/>
    <w:rsid w:val="00055CBB"/>
    <w:rsid w:val="00072C2A"/>
    <w:rsid w:val="0007300D"/>
    <w:rsid w:val="000802E3"/>
    <w:rsid w:val="000921BF"/>
    <w:rsid w:val="00095A22"/>
    <w:rsid w:val="000B244A"/>
    <w:rsid w:val="000F3B90"/>
    <w:rsid w:val="001234EB"/>
    <w:rsid w:val="0014058C"/>
    <w:rsid w:val="0017028B"/>
    <w:rsid w:val="00174DAF"/>
    <w:rsid w:val="0019646D"/>
    <w:rsid w:val="001C1F01"/>
    <w:rsid w:val="001D0F6F"/>
    <w:rsid w:val="001F7438"/>
    <w:rsid w:val="002029DB"/>
    <w:rsid w:val="002C394A"/>
    <w:rsid w:val="002D1C00"/>
    <w:rsid w:val="002F08FB"/>
    <w:rsid w:val="002F7164"/>
    <w:rsid w:val="00301ABF"/>
    <w:rsid w:val="00384E07"/>
    <w:rsid w:val="00385A9D"/>
    <w:rsid w:val="003A3781"/>
    <w:rsid w:val="003A79C7"/>
    <w:rsid w:val="003B6BA9"/>
    <w:rsid w:val="003C5949"/>
    <w:rsid w:val="003F695A"/>
    <w:rsid w:val="004254A4"/>
    <w:rsid w:val="0048265E"/>
    <w:rsid w:val="004D4188"/>
    <w:rsid w:val="004D4C8D"/>
    <w:rsid w:val="004F23B6"/>
    <w:rsid w:val="0050661C"/>
    <w:rsid w:val="005079CB"/>
    <w:rsid w:val="005427DE"/>
    <w:rsid w:val="0055336D"/>
    <w:rsid w:val="0059291D"/>
    <w:rsid w:val="00595B62"/>
    <w:rsid w:val="005C0FDC"/>
    <w:rsid w:val="005C667D"/>
    <w:rsid w:val="005F66EF"/>
    <w:rsid w:val="0061445C"/>
    <w:rsid w:val="0064544B"/>
    <w:rsid w:val="00666B40"/>
    <w:rsid w:val="006B2AD4"/>
    <w:rsid w:val="006C13AC"/>
    <w:rsid w:val="0074116C"/>
    <w:rsid w:val="00754268"/>
    <w:rsid w:val="007731B3"/>
    <w:rsid w:val="00786E12"/>
    <w:rsid w:val="00796409"/>
    <w:rsid w:val="007B2D0E"/>
    <w:rsid w:val="007F6C25"/>
    <w:rsid w:val="00800E94"/>
    <w:rsid w:val="00806347"/>
    <w:rsid w:val="008707F5"/>
    <w:rsid w:val="0088033E"/>
    <w:rsid w:val="008D22A3"/>
    <w:rsid w:val="008F0100"/>
    <w:rsid w:val="008F7687"/>
    <w:rsid w:val="00957CF0"/>
    <w:rsid w:val="00961E2C"/>
    <w:rsid w:val="009A1286"/>
    <w:rsid w:val="00A070DD"/>
    <w:rsid w:val="00A4148C"/>
    <w:rsid w:val="00A85ECB"/>
    <w:rsid w:val="00B26EDC"/>
    <w:rsid w:val="00B44A19"/>
    <w:rsid w:val="00B5322A"/>
    <w:rsid w:val="00B57CDF"/>
    <w:rsid w:val="00B84C3E"/>
    <w:rsid w:val="00C218D0"/>
    <w:rsid w:val="00C24EFA"/>
    <w:rsid w:val="00C25B2A"/>
    <w:rsid w:val="00C54477"/>
    <w:rsid w:val="00CC6E52"/>
    <w:rsid w:val="00CF35CA"/>
    <w:rsid w:val="00CF4AAD"/>
    <w:rsid w:val="00CF6B5B"/>
    <w:rsid w:val="00D20B94"/>
    <w:rsid w:val="00E241F7"/>
    <w:rsid w:val="00E27854"/>
    <w:rsid w:val="00E82FA0"/>
    <w:rsid w:val="00EC05B2"/>
    <w:rsid w:val="00ED38EE"/>
    <w:rsid w:val="00EE56EC"/>
    <w:rsid w:val="00F2337D"/>
    <w:rsid w:val="00F32E70"/>
    <w:rsid w:val="00F56077"/>
    <w:rsid w:val="00FA009E"/>
    <w:rsid w:val="00FA22FA"/>
    <w:rsid w:val="00FE762A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56ACE1-001B-415B-AD45-AB6635BD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27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aliases w:val="Rodapé - CLG"/>
    <w:basedOn w:val="Normal"/>
    <w:link w:val="RodapChar"/>
    <w:uiPriority w:val="99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aliases w:val="Rodapé - CLG Char"/>
    <w:basedOn w:val="Fontepargpadro"/>
    <w:link w:val="Rodap"/>
    <w:uiPriority w:val="99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nhideWhenUsed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next w:val="06-Pargrafodetexto-CLG"/>
    <w:link w:val="05-Subttulo-CLGChar"/>
    <w:qFormat/>
    <w:rsid w:val="008F7687"/>
    <w:pPr>
      <w:keepNext/>
      <w:keepLines/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qFormat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8F768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qFormat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qFormat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next w:val="06-Pargrafodetexto-CLG"/>
    <w:qFormat/>
    <w:rsid w:val="007731B3"/>
    <w:pPr>
      <w:keepNext/>
      <w:keepLines/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273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739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2739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73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739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7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3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790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conleg@senado.leg.br</dc:creator>
  <cp:lastModifiedBy>Lairton Pedro Kleinubing</cp:lastModifiedBy>
  <cp:revision>2</cp:revision>
  <dcterms:created xsi:type="dcterms:W3CDTF">2016-08-23T14:27:00Z</dcterms:created>
  <dcterms:modified xsi:type="dcterms:W3CDTF">2016-08-23T14:27:00Z</dcterms:modified>
</cp:coreProperties>
</file>