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D8" w:rsidRDefault="000F4CD8">
      <w:pPr>
        <w:pStyle w:val="Recuodecorpodetexto"/>
        <w:ind w:right="283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F4CD8" w:rsidRDefault="0064647A">
      <w:pPr>
        <w:pStyle w:val="Recuodecorpodetexto"/>
        <w:ind w:right="283" w:firstLine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PARECER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Nº</w:t>
      </w:r>
      <w:r>
        <w:rPr>
          <w:rFonts w:ascii="Arial" w:hAnsi="Arial" w:cs="Arial"/>
          <w:b/>
          <w:bCs/>
          <w:sz w:val="30"/>
          <w:szCs w:val="30"/>
          <w:vertAlign w:val="superscript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         ,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DE 2018</w:t>
      </w:r>
    </w:p>
    <w:p w:rsidR="000F4CD8" w:rsidRDefault="000F4CD8">
      <w:pPr>
        <w:spacing w:after="360"/>
        <w:ind w:right="283"/>
        <w:jc w:val="both"/>
        <w:rPr>
          <w:rFonts w:ascii="Arial" w:hAnsi="Arial" w:cs="Arial"/>
          <w:b/>
        </w:rPr>
      </w:pPr>
    </w:p>
    <w:p w:rsidR="000F4CD8" w:rsidRDefault="0064647A">
      <w:pPr>
        <w:spacing w:after="240"/>
        <w:ind w:left="3686" w:righ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 Comissão de Meio Ambiente</w:t>
      </w:r>
      <w:r>
        <w:rPr>
          <w:rFonts w:ascii="Arial" w:hAnsi="Arial" w:cs="Arial"/>
        </w:rPr>
        <w:t>, sobre as emendas a serem apresentadas, por esta Comissão, ao Projeto de Lei - PLN nº 2, de 201</w:t>
      </w:r>
      <w:r w:rsidR="006909CD">
        <w:rPr>
          <w:rFonts w:ascii="Arial" w:hAnsi="Arial" w:cs="Arial"/>
        </w:rPr>
        <w:t>8</w:t>
      </w:r>
      <w:r>
        <w:rPr>
          <w:rFonts w:ascii="Arial" w:hAnsi="Arial" w:cs="Arial"/>
        </w:rPr>
        <w:t>-CN, que “Dispõe sobre as diretrizes para a elaboração e execução da Lei Orçamentária de 2019 e dá outras providências”.</w:t>
      </w:r>
    </w:p>
    <w:p w:rsidR="000F4CD8" w:rsidRDefault="0064647A">
      <w:pPr>
        <w:spacing w:after="240"/>
        <w:ind w:left="3686" w:right="283"/>
        <w:jc w:val="both"/>
      </w:pPr>
      <w:r>
        <w:rPr>
          <w:rFonts w:ascii="Arial" w:hAnsi="Arial" w:cs="Arial"/>
          <w:b/>
        </w:rPr>
        <w:t xml:space="preserve">Relator: </w:t>
      </w:r>
      <w:r>
        <w:rPr>
          <w:rFonts w:ascii="Arial" w:hAnsi="Arial" w:cs="Arial"/>
        </w:rPr>
        <w:t xml:space="preserve">Senador </w:t>
      </w:r>
      <w:r w:rsidR="00F9297A">
        <w:rPr>
          <w:rFonts w:ascii="Arial" w:hAnsi="Arial" w:cs="Arial"/>
        </w:rPr>
        <w:t xml:space="preserve">José Medeiros </w:t>
      </w:r>
      <w:r>
        <w:rPr>
          <w:rFonts w:ascii="Arial" w:hAnsi="Arial" w:cs="Arial"/>
        </w:rPr>
        <w:t>(</w:t>
      </w:r>
      <w:r w:rsidR="00F9297A">
        <w:rPr>
          <w:rFonts w:ascii="Arial" w:hAnsi="Arial" w:cs="Arial"/>
        </w:rPr>
        <w:t>PODE/MT</w:t>
      </w:r>
      <w:r>
        <w:rPr>
          <w:rFonts w:ascii="Arial" w:hAnsi="Arial" w:cs="Arial"/>
        </w:rPr>
        <w:t>)</w:t>
      </w:r>
    </w:p>
    <w:p w:rsidR="000F4CD8" w:rsidRDefault="000F4CD8">
      <w:pPr>
        <w:ind w:right="283"/>
        <w:rPr>
          <w:rFonts w:ascii="Arial" w:hAnsi="Arial" w:cs="Arial"/>
        </w:rPr>
      </w:pPr>
    </w:p>
    <w:p w:rsidR="000F4CD8" w:rsidRDefault="000F4CD8">
      <w:pPr>
        <w:ind w:right="283"/>
        <w:rPr>
          <w:rFonts w:ascii="Arial" w:hAnsi="Arial" w:cs="Arial"/>
        </w:rPr>
      </w:pPr>
    </w:p>
    <w:p w:rsidR="000F4CD8" w:rsidRDefault="0064647A">
      <w:pPr>
        <w:pStyle w:val="Ttulo1"/>
        <w:spacing w:after="360"/>
        <w:ind w:right="284"/>
        <w:rPr>
          <w:rFonts w:ascii="Arial" w:hAnsi="Arial" w:cs="Arial"/>
        </w:rPr>
      </w:pPr>
      <w:r>
        <w:rPr>
          <w:rFonts w:ascii="Arial" w:hAnsi="Arial" w:cs="Arial"/>
        </w:rPr>
        <w:t>I – Relatório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>Conforme disposto no art. 166 da Constituição e nos termos da Resolução nº 1, de 2006-CN, encontra-se em tramitação, no Congresso Nacional, o Projeto de Lei - PLN nº 2, de 201</w:t>
      </w:r>
      <w:r w:rsidR="006909CD">
        <w:rPr>
          <w:rFonts w:ascii="Arial" w:hAnsi="Arial" w:cs="Arial"/>
        </w:rPr>
        <w:t>8</w:t>
      </w:r>
      <w:r>
        <w:rPr>
          <w:rFonts w:ascii="Arial" w:hAnsi="Arial" w:cs="Arial"/>
        </w:rPr>
        <w:t>-CN, que “Dispõe sobre as diretrizes para a elaboração e execução da Lei Orçamentária de 201</w:t>
      </w:r>
      <w:r w:rsidR="00EA323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e dá outras providências”.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A Lei de Diretrizes Orçamentárias para 2019 (LDO 2019) compreenderá as metas e </w:t>
      </w:r>
      <w:proofErr w:type="gramStart"/>
      <w:r>
        <w:rPr>
          <w:rFonts w:ascii="Arial" w:hAnsi="Arial" w:cs="Arial"/>
        </w:rPr>
        <w:t>prioridades</w:t>
      </w:r>
      <w:proofErr w:type="gramEnd"/>
      <w:r>
        <w:rPr>
          <w:rFonts w:ascii="Arial" w:hAnsi="Arial" w:cs="Arial"/>
        </w:rPr>
        <w:t xml:space="preserve"> da administração pública federal, orientará a elaboração da lei orçamentária anual, disporá sobre as alterações na legislação tributária e estabelecerá a política de aplicação das agências financeiras oficiais de fomento.  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as normas de tramitação do projeto da LDO 2019, cujos fundamentos são lançados pela já citada Resolução nº 1, de 2006-CN, e pelo parecer preliminar de que tratam 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85 e 86 dessa resolução, a CMA tem competência para propor emendas ao projeto, devendo fazê-lo na condição de autor de emenda coletiva.</w:t>
      </w:r>
    </w:p>
    <w:p w:rsidR="000F4CD8" w:rsidRDefault="0064647A">
      <w:pPr>
        <w:pStyle w:val="Recuodecorpodetexto"/>
        <w:keepNext/>
        <w:spacing w:after="120"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 emendas são classificadas entre emendas de texto e emendas para elaboração do Anexo de Metas e Prioridades. Não há limite ao número de emendas de texto que podem ser apresentadas. Considera-se emenda de texto a que proponha alteração das seguintes partes do projeto da LDO 2019: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/>
        <w:ind w:left="1134" w:hanging="425"/>
        <w:rPr>
          <w:b w:val="0"/>
        </w:rPr>
      </w:pPr>
      <w:r>
        <w:rPr>
          <w:b w:val="0"/>
        </w:rPr>
        <w:t>Texto do Projeto;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/>
        <w:ind w:left="1134" w:hanging="425"/>
        <w:rPr>
          <w:b w:val="0"/>
        </w:rPr>
      </w:pPr>
      <w:r>
        <w:rPr>
          <w:b w:val="0"/>
        </w:rPr>
        <w:t xml:space="preserve">Anexo I – </w:t>
      </w:r>
      <w:proofErr w:type="gramStart"/>
      <w:r>
        <w:rPr>
          <w:b w:val="0"/>
        </w:rPr>
        <w:t>Relação dos Quadros Orçamentários Consolidados</w:t>
      </w:r>
      <w:proofErr w:type="gramEnd"/>
      <w:r>
        <w:rPr>
          <w:b w:val="0"/>
        </w:rPr>
        <w:t>;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/>
        <w:ind w:left="1134" w:hanging="425"/>
        <w:rPr>
          <w:b w:val="0"/>
        </w:rPr>
      </w:pPr>
      <w:r>
        <w:rPr>
          <w:b w:val="0"/>
        </w:rPr>
        <w:t>Anexo II – Relação das Informações Complementares do Projeto de Lei Orçamentária de 2019;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/>
        <w:ind w:left="1134" w:hanging="425"/>
        <w:rPr>
          <w:b w:val="0"/>
        </w:rPr>
      </w:pPr>
      <w:r>
        <w:rPr>
          <w:b w:val="0"/>
        </w:rPr>
        <w:t>Anexo III – Despesas que não serão Objeto de Limitação de Empenho;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 w:line="360" w:lineRule="auto"/>
        <w:ind w:left="1134" w:right="283" w:hanging="425"/>
        <w:rPr>
          <w:b w:val="0"/>
        </w:rPr>
      </w:pPr>
      <w:r>
        <w:rPr>
          <w:b w:val="0"/>
        </w:rPr>
        <w:t xml:space="preserve">Anexo </w:t>
      </w:r>
      <w:proofErr w:type="gramStart"/>
      <w:r>
        <w:rPr>
          <w:b w:val="0"/>
        </w:rPr>
        <w:t>IV.</w:t>
      </w:r>
      <w:proofErr w:type="gramEnd"/>
      <w:r>
        <w:rPr>
          <w:b w:val="0"/>
        </w:rPr>
        <w:t xml:space="preserve">1.a – Anexo de Metas Anuais 2019 a 2021; e </w:t>
      </w:r>
    </w:p>
    <w:p w:rsidR="000F4CD8" w:rsidRDefault="0064647A">
      <w:pPr>
        <w:pStyle w:val="Ttulo3"/>
        <w:numPr>
          <w:ilvl w:val="0"/>
          <w:numId w:val="1"/>
        </w:numPr>
        <w:tabs>
          <w:tab w:val="left" w:pos="1134"/>
        </w:tabs>
        <w:spacing w:before="120" w:line="360" w:lineRule="auto"/>
        <w:ind w:left="1134" w:right="283" w:hanging="425"/>
        <w:rPr>
          <w:b w:val="0"/>
        </w:rPr>
      </w:pPr>
      <w:r>
        <w:rPr>
          <w:b w:val="0"/>
        </w:rPr>
        <w:t xml:space="preserve">Anexo </w:t>
      </w:r>
      <w:proofErr w:type="gramStart"/>
      <w:r>
        <w:rPr>
          <w:b w:val="0"/>
        </w:rPr>
        <w:t>IV.</w:t>
      </w:r>
      <w:proofErr w:type="gramEnd"/>
      <w:r>
        <w:rPr>
          <w:b w:val="0"/>
        </w:rPr>
        <w:t>2 – Demonstrativo da Margem de Expansão das Despesas Obrigatórias de Caráter Continuado.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O Anexo de Metas e Prioridades será elaborado por meio de emendas de acréscimo/inclusão de ações constantes das Leis Orçamentárias de 2016, 2017 e 2018.  A apresentação de emenda para elaboração do Anexo de Metas e Prioridades deve observar o limite máximo de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(duas) emendas por comissão permanente da Câmara dos Deputados ou do Senado Federal, nos termos do Parecer Preliminar (</w:t>
      </w:r>
      <w:proofErr w:type="spellStart"/>
      <w:r>
        <w:rPr>
          <w:rFonts w:ascii="Arial" w:hAnsi="Arial" w:cs="Arial"/>
        </w:rPr>
        <w:t>Parpre</w:t>
      </w:r>
      <w:proofErr w:type="spellEnd"/>
      <w:r>
        <w:rPr>
          <w:rFonts w:ascii="Arial" w:hAnsi="Arial" w:cs="Arial"/>
        </w:rPr>
        <w:t xml:space="preserve">) aprovado por unanimidade pela CMO em 19/06/2018. Por fim, podem ser apresentadas emendas às programações nas áreas de competência regimental da CMA, conforme estabelecido no </w:t>
      </w:r>
      <w:proofErr w:type="spellStart"/>
      <w:r>
        <w:rPr>
          <w:rFonts w:ascii="Arial" w:hAnsi="Arial" w:cs="Arial"/>
        </w:rPr>
        <w:t>Parpre</w:t>
      </w:r>
      <w:proofErr w:type="spellEnd"/>
      <w:r>
        <w:rPr>
          <w:rFonts w:ascii="Arial" w:hAnsi="Arial" w:cs="Arial"/>
        </w:rPr>
        <w:t>, item 2.3.1.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Foram</w:t>
      </w:r>
      <w:proofErr w:type="gramEnd"/>
      <w:r>
        <w:rPr>
          <w:rFonts w:ascii="Arial" w:hAnsi="Arial" w:cs="Arial"/>
        </w:rPr>
        <w:t xml:space="preserve"> oferecidas pelos membros da Comissão uma (1) sugestão de emenda ao texto e quinze (15) propondo alterações no Anexo de Metas e Prioridades, conforme  quadro anexo a este relatório, com as seguintes autorias: </w:t>
      </w:r>
    </w:p>
    <w:p w:rsidR="000F4CD8" w:rsidRDefault="0064647A">
      <w:pPr>
        <w:pStyle w:val="Recuodecorpodetexto"/>
        <w:numPr>
          <w:ilvl w:val="0"/>
          <w:numId w:val="2"/>
        </w:numPr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>Emenda ao texto: Senador Wellington Fagundes (1).</w:t>
      </w:r>
    </w:p>
    <w:p w:rsidR="000F4CD8" w:rsidRDefault="0064647A">
      <w:pPr>
        <w:pStyle w:val="Recuodecorpodetexto"/>
        <w:numPr>
          <w:ilvl w:val="0"/>
          <w:numId w:val="2"/>
        </w:numPr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Emendas ao Anexo de Metas e Prioridades: Senador Cristovam Buarque (7); Senador </w:t>
      </w:r>
      <w:proofErr w:type="spellStart"/>
      <w:r>
        <w:rPr>
          <w:rFonts w:ascii="Arial" w:hAnsi="Arial" w:cs="Arial"/>
        </w:rPr>
        <w:t>Rudson</w:t>
      </w:r>
      <w:proofErr w:type="spellEnd"/>
      <w:r>
        <w:rPr>
          <w:rFonts w:ascii="Arial" w:hAnsi="Arial" w:cs="Arial"/>
        </w:rPr>
        <w:t xml:space="preserve"> Leite (1); Senadora Vanessa </w:t>
      </w:r>
      <w:proofErr w:type="spellStart"/>
      <w:r>
        <w:rPr>
          <w:rFonts w:ascii="Arial" w:hAnsi="Arial" w:cs="Arial"/>
        </w:rPr>
        <w:t>Grazziotin</w:t>
      </w:r>
      <w:proofErr w:type="spellEnd"/>
      <w:r>
        <w:rPr>
          <w:rFonts w:ascii="Arial" w:hAnsi="Arial" w:cs="Arial"/>
        </w:rPr>
        <w:t xml:space="preserve"> (2); Senador Hélio José (1); Senador Wellington Fagundes (1); e Senador Jorge Viana (3).  </w:t>
      </w:r>
    </w:p>
    <w:p w:rsidR="000F4CD8" w:rsidRDefault="0064647A">
      <w:pPr>
        <w:pStyle w:val="Recuodecorpodetexto"/>
        <w:spacing w:after="120" w:line="360" w:lineRule="auto"/>
        <w:ind w:right="283"/>
      </w:pPr>
      <w:r>
        <w:rPr>
          <w:rFonts w:ascii="Arial" w:hAnsi="Arial" w:cs="Arial"/>
        </w:rPr>
        <w:t>É o relatório.</w:t>
      </w:r>
    </w:p>
    <w:p w:rsidR="000F4CD8" w:rsidRDefault="0064647A">
      <w:pPr>
        <w:pStyle w:val="Ttulo1"/>
        <w:spacing w:after="360"/>
        <w:ind w:righ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 – Análise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>O escopo da emenda ao texto (corpo da lei - Artigo 11 Inciso XV) é garantir a compensação adequada aos estados e municípios, haja vista a perda ocasionada com a Lei Kandir, com edição em 13 de Setembro de 1996, a qual não garante os índices atuais de ressarcimento devidos aos estados exportadores, levando em conta a inconstância dos referidos repasses para os Estados e municípios. Se aprovada, a dotação constante da LOA 2019 será igual ou superior ao valor autorizado para 2018, atualizado pela inflação (IPCA).</w:t>
      </w:r>
    </w:p>
    <w:p w:rsidR="000F4CD8" w:rsidRDefault="0064647A">
      <w:pPr>
        <w:pStyle w:val="Recuodecorpodetexto"/>
        <w:spacing w:after="120" w:line="360" w:lineRule="auto"/>
        <w:ind w:right="283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Ao Anexo de Metas e Prioridades, catorze (14) sugestões propõem emendas de inclusão de meta e uma (1) de acréscimo de meta. Além do Ministério do Meio Ambiente, seis (6) propostas de emendas contemplaram outros órgãos: Ministério das Minas e Energia (Em. 11); Ministério da Saúde (Em.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e 12); Ministério da Justiça/</w:t>
      </w:r>
      <w:proofErr w:type="spellStart"/>
      <w:r>
        <w:rPr>
          <w:rFonts w:ascii="Arial" w:hAnsi="Arial" w:cs="Arial"/>
        </w:rPr>
        <w:t>Funai</w:t>
      </w:r>
      <w:proofErr w:type="spellEnd"/>
      <w:r>
        <w:rPr>
          <w:rFonts w:ascii="Arial" w:hAnsi="Arial" w:cs="Arial"/>
        </w:rPr>
        <w:t xml:space="preserve"> (Em. 15); Ministério da Ciência, Tecnologia, Inovações e Comunicações (Em. 10); Secretaria Especial de Agricultura Familiar e do Desenvolvimento Agrário (Em. 2). Nada obstante, todas elas integram a área temática da competência regimental desta Comissão. </w:t>
      </w:r>
    </w:p>
    <w:p w:rsidR="000F4CD8" w:rsidRDefault="0064647A">
      <w:pPr>
        <w:pStyle w:val="Recuodecorpodetexto"/>
        <w:spacing w:before="200" w:after="120"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t>Registramos que o quadro completo com as sugestões de emendas apresentadas encontra-se em anexo a este relatório.</w:t>
      </w:r>
    </w:p>
    <w:p w:rsidR="000F4CD8" w:rsidRPr="00DE196A" w:rsidRDefault="0064647A">
      <w:pPr>
        <w:pStyle w:val="Ttulo1"/>
        <w:keepLines/>
        <w:spacing w:after="360"/>
        <w:ind w:right="284"/>
        <w:rPr>
          <w:rFonts w:ascii="Arial" w:hAnsi="Arial" w:cs="Arial"/>
        </w:rPr>
      </w:pPr>
      <w:r w:rsidRPr="00DE196A">
        <w:rPr>
          <w:rFonts w:ascii="Arial" w:hAnsi="Arial" w:cs="Arial"/>
        </w:rPr>
        <w:t>III – Voto</w:t>
      </w:r>
    </w:p>
    <w:p w:rsidR="000F4CD8" w:rsidRPr="00DE196A" w:rsidRDefault="0064647A" w:rsidP="00DE196A">
      <w:pPr>
        <w:pStyle w:val="Recuodecorpodetexto"/>
        <w:keepNext/>
        <w:keepLines/>
        <w:spacing w:after="120" w:line="360" w:lineRule="auto"/>
        <w:ind w:right="284"/>
        <w:rPr>
          <w:rFonts w:ascii="Arial" w:hAnsi="Arial" w:cs="Arial"/>
        </w:rPr>
      </w:pPr>
      <w:r w:rsidRPr="00DE196A">
        <w:rPr>
          <w:rFonts w:ascii="Arial" w:hAnsi="Arial" w:cs="Arial"/>
        </w:rPr>
        <w:t>Pelas razões expostas, e reconhecendo o mérito das iniciativas, somos pela apresentação, por esta Comissão, da proposta de emenda ao texto e das propostas de emenda n</w:t>
      </w:r>
      <w:r w:rsidRPr="00DE196A">
        <w:rPr>
          <w:rFonts w:ascii="Arial" w:hAnsi="Arial" w:cs="Arial"/>
          <w:vertAlign w:val="superscript"/>
        </w:rPr>
        <w:t>os</w:t>
      </w:r>
      <w:r w:rsidRPr="00DE196A">
        <w:rPr>
          <w:rFonts w:ascii="Arial" w:hAnsi="Arial" w:cs="Arial"/>
        </w:rPr>
        <w:t xml:space="preserve"> 07</w:t>
      </w:r>
      <w:r w:rsidRPr="00DE196A">
        <w:rPr>
          <w:rFonts w:ascii="Arial" w:hAnsi="Arial" w:cs="Arial"/>
          <w:color w:val="FF0000"/>
        </w:rPr>
        <w:t xml:space="preserve"> </w:t>
      </w:r>
      <w:r w:rsidRPr="00DE196A">
        <w:rPr>
          <w:rFonts w:ascii="Arial" w:hAnsi="Arial" w:cs="Arial"/>
        </w:rPr>
        <w:t>e 09, conforme quadro anexo, ao Anexo de Metas e Prioridades da Lei de Diretrizes Orçamentárias para 2019 (LDO 2019).</w:t>
      </w:r>
    </w:p>
    <w:p w:rsidR="000F4CD8" w:rsidRPr="00DE196A" w:rsidRDefault="0064647A">
      <w:pPr>
        <w:pStyle w:val="Recuodecorpodetexto"/>
        <w:keepNext/>
        <w:keepLines/>
        <w:spacing w:after="120" w:line="360" w:lineRule="auto"/>
        <w:ind w:right="283"/>
        <w:jc w:val="right"/>
        <w:rPr>
          <w:rFonts w:ascii="Arial" w:hAnsi="Arial" w:cs="Arial"/>
        </w:rPr>
      </w:pPr>
      <w:r w:rsidRPr="00DE196A">
        <w:rPr>
          <w:rFonts w:ascii="Arial" w:hAnsi="Arial" w:cs="Arial"/>
        </w:rPr>
        <w:t xml:space="preserve">Plenário da Comissão, em </w:t>
      </w:r>
      <w:r w:rsidR="00396912" w:rsidRPr="00DE196A">
        <w:rPr>
          <w:rFonts w:ascii="Arial" w:hAnsi="Arial" w:cs="Arial"/>
        </w:rPr>
        <w:t>26</w:t>
      </w:r>
      <w:r w:rsidR="008A6DCD">
        <w:rPr>
          <w:rFonts w:ascii="Arial" w:hAnsi="Arial" w:cs="Arial"/>
        </w:rPr>
        <w:t xml:space="preserve"> </w:t>
      </w:r>
      <w:r w:rsidRPr="00DE196A">
        <w:rPr>
          <w:rFonts w:ascii="Arial" w:hAnsi="Arial" w:cs="Arial"/>
        </w:rPr>
        <w:t>de junho de 2018.</w:t>
      </w:r>
    </w:p>
    <w:p w:rsidR="000F4CD8" w:rsidRDefault="0064647A">
      <w:pPr>
        <w:pStyle w:val="Recuodecorpodetexto"/>
        <w:keepNext/>
        <w:keepLines/>
        <w:spacing w:after="0" w:line="360" w:lineRule="auto"/>
        <w:ind w:right="283" w:firstLine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:rsidR="000F4CD8" w:rsidRDefault="0064647A">
      <w:pPr>
        <w:pStyle w:val="Recuodecorpodetexto"/>
        <w:keepNext/>
        <w:keepLines/>
        <w:spacing w:after="0"/>
        <w:ind w:right="284" w:firstLine="0"/>
        <w:jc w:val="center"/>
      </w:pPr>
      <w:r>
        <w:rPr>
          <w:rFonts w:ascii="Arial" w:hAnsi="Arial" w:cs="Arial"/>
        </w:rPr>
        <w:t>Senador</w:t>
      </w:r>
      <w:r w:rsidR="00F9297A">
        <w:rPr>
          <w:rFonts w:ascii="Arial" w:hAnsi="Arial" w:cs="Arial"/>
        </w:rPr>
        <w:t xml:space="preserve"> José </w:t>
      </w:r>
      <w:proofErr w:type="gramStart"/>
      <w:r w:rsidR="00F9297A">
        <w:rPr>
          <w:rFonts w:ascii="Arial" w:hAnsi="Arial" w:cs="Arial"/>
        </w:rPr>
        <w:t>Medeiros</w:t>
      </w:r>
      <w:r>
        <w:rPr>
          <w:rFonts w:ascii="Arial" w:hAnsi="Arial" w:cs="Arial"/>
        </w:rPr>
        <w:t>(</w:t>
      </w:r>
      <w:proofErr w:type="gramEnd"/>
      <w:r w:rsidR="00F9297A">
        <w:rPr>
          <w:rFonts w:ascii="Arial" w:hAnsi="Arial" w:cs="Arial"/>
        </w:rPr>
        <w:t>PODE/MT</w:t>
      </w:r>
      <w:r>
        <w:rPr>
          <w:rFonts w:ascii="Arial" w:hAnsi="Arial" w:cs="Arial"/>
        </w:rPr>
        <w:t>)</w:t>
      </w:r>
      <w:bookmarkStart w:id="0" w:name="_GoBack"/>
      <w:bookmarkEnd w:id="0"/>
    </w:p>
    <w:p w:rsidR="000F4CD8" w:rsidRDefault="0064647A">
      <w:pPr>
        <w:pStyle w:val="Recuodecorpodetexto"/>
        <w:keepNext/>
        <w:keepLines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Relator</w:t>
      </w:r>
    </w:p>
    <w:p w:rsidR="000F4CD8" w:rsidRDefault="000F4CD8">
      <w:pPr>
        <w:pStyle w:val="Recuodecorpodetexto"/>
        <w:keepNext/>
        <w:keepLines/>
        <w:spacing w:after="0" w:line="360" w:lineRule="auto"/>
        <w:ind w:right="283" w:firstLine="0"/>
        <w:jc w:val="center"/>
        <w:rPr>
          <w:rFonts w:ascii="Arial" w:hAnsi="Arial" w:cs="Arial"/>
        </w:rPr>
      </w:pPr>
    </w:p>
    <w:p w:rsidR="000F4CD8" w:rsidRDefault="00F9297A">
      <w:pPr>
        <w:pStyle w:val="Recuodecorpodetexto"/>
        <w:spacing w:after="0"/>
        <w:ind w:right="284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Senador </w:t>
      </w:r>
      <w:r w:rsidR="00BB436D">
        <w:rPr>
          <w:rFonts w:ascii="Arial" w:hAnsi="Arial" w:cs="Arial"/>
        </w:rPr>
        <w:t xml:space="preserve">Valdir </w:t>
      </w:r>
      <w:proofErr w:type="spellStart"/>
      <w:r w:rsidR="00BB436D">
        <w:rPr>
          <w:rFonts w:ascii="Arial" w:hAnsi="Arial" w:cs="Arial"/>
        </w:rPr>
        <w:t>Raupp</w:t>
      </w:r>
      <w:proofErr w:type="spellEnd"/>
    </w:p>
    <w:p w:rsidR="000F4CD8" w:rsidRDefault="0064647A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BB436D">
        <w:rPr>
          <w:rFonts w:ascii="Arial" w:hAnsi="Arial" w:cs="Arial"/>
          <w:b/>
        </w:rPr>
        <w:t xml:space="preserve"> Eventual</w:t>
      </w:r>
      <w:r w:rsidR="00F9297A">
        <w:rPr>
          <w:rFonts w:ascii="Arial" w:hAnsi="Arial" w:cs="Arial"/>
          <w:b/>
        </w:rPr>
        <w:t xml:space="preserve"> </w:t>
      </w:r>
      <w:r w:rsidR="00AA4FD1" w:rsidRPr="00AA4FD1">
        <w:rPr>
          <w:rFonts w:ascii="Arial" w:hAnsi="Arial" w:cs="Arial"/>
          <w:b/>
          <w:szCs w:val="22"/>
        </w:rPr>
        <w:t>da Comissão de Meio Ambiente do Senado Federal</w:t>
      </w:r>
    </w:p>
    <w:p w:rsidR="000F4CD8" w:rsidRDefault="000F4CD8">
      <w:pPr>
        <w:pStyle w:val="Recuodecorpodetexto"/>
        <w:spacing w:after="0" w:line="360" w:lineRule="auto"/>
        <w:ind w:right="283" w:firstLine="0"/>
        <w:rPr>
          <w:rFonts w:ascii="Arial" w:hAnsi="Arial" w:cs="Arial"/>
          <w:color w:val="FF0000"/>
        </w:rPr>
      </w:pPr>
    </w:p>
    <w:p w:rsidR="000F4CD8" w:rsidRDefault="000F4CD8">
      <w:pPr>
        <w:rPr>
          <w:rStyle w:val="Nmerodepgina"/>
        </w:rPr>
        <w:sectPr w:rsidR="000F4CD8">
          <w:headerReference w:type="default" r:id="rId8"/>
          <w:footerReference w:type="default" r:id="rId9"/>
          <w:pgSz w:w="11906" w:h="16838"/>
          <w:pgMar w:top="2552" w:right="851" w:bottom="1418" w:left="1134" w:header="709" w:footer="709" w:gutter="0"/>
          <w:cols w:space="720"/>
          <w:formProt w:val="0"/>
          <w:docGrid w:linePitch="360" w:charSpace="-6145"/>
        </w:sectPr>
      </w:pPr>
    </w:p>
    <w:p w:rsidR="000F4CD8" w:rsidRDefault="0064647A">
      <w:pPr>
        <w:ind w:right="28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</w:t>
      </w:r>
    </w:p>
    <w:p w:rsidR="000F4CD8" w:rsidRDefault="006464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SUGESTÕES DE EMENDAS AO ANEXO DE METAS E PRIORIDADES</w:t>
      </w:r>
    </w:p>
    <w:p w:rsidR="000F4CD8" w:rsidRDefault="000F4CD8">
      <w:pPr>
        <w:ind w:right="283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1387"/>
        <w:gridCol w:w="2334"/>
        <w:gridCol w:w="1731"/>
        <w:gridCol w:w="2336"/>
        <w:gridCol w:w="1404"/>
        <w:gridCol w:w="1392"/>
        <w:gridCol w:w="1159"/>
        <w:gridCol w:w="1260"/>
      </w:tblGrid>
      <w:tr w:rsidR="000F4CD8">
        <w:trPr>
          <w:trHeight w:val="945"/>
          <w:tblHeader/>
        </w:trPr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bookmarkStart w:id="1" w:name="RANGE!A1:H16"/>
            <w:bookmarkEnd w:id="1"/>
            <w:r>
              <w:rPr>
                <w:b/>
                <w:bCs/>
                <w:color w:val="000000"/>
              </w:rPr>
              <w:t>EMENDA Nº</w:t>
            </w:r>
          </w:p>
        </w:tc>
        <w:tc>
          <w:tcPr>
            <w:tcW w:w="23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EMENTA</w:t>
            </w:r>
          </w:p>
        </w:tc>
        <w:tc>
          <w:tcPr>
            <w:tcW w:w="17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3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AÇÃO</w:t>
            </w:r>
          </w:p>
        </w:tc>
        <w:tc>
          <w:tcPr>
            <w:tcW w:w="1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PRODUTO </w:t>
            </w:r>
            <w:r>
              <w:rPr>
                <w:b/>
                <w:bCs/>
                <w:color w:val="000000"/>
              </w:rPr>
              <w:br/>
            </w:r>
            <w:proofErr w:type="gramStart"/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 xml:space="preserve">unidade de medida) 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909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ACRÉ</w:t>
            </w:r>
            <w:r w:rsidR="0064647A">
              <w:rPr>
                <w:b/>
                <w:bCs/>
                <w:color w:val="000000"/>
                <w:sz w:val="20"/>
                <w:szCs w:val="20"/>
              </w:rPr>
              <w:t>SCIMO DE META</w:t>
            </w: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</w:t>
            </w:r>
            <w:r>
              <w:rPr>
                <w:b/>
                <w:bCs/>
                <w:color w:val="000000"/>
              </w:rPr>
              <w:br/>
            </w:r>
            <w:proofErr w:type="gramStart"/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>Senador)</w:t>
            </w:r>
          </w:p>
        </w:tc>
        <w:tc>
          <w:tcPr>
            <w:tcW w:w="12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F4CD8" w:rsidRDefault="006464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TIPO DE EMENDA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CMA-01-i - Qualidade Ambiental - coleta e reciclagem de materiais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2083 Qualidade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Ambiental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20AM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Implementação de Projetos de Coleta e Reciclagem de Materiais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Unidade apoiada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CMA-02-i - Apoio ao Desenvolvimento Sustentável de Territórios Rurais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2029 Desenvolvimento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Regional e Territorial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210X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Apoio ao Desenvolvimento Sustentável de Territórios Rurais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Território apoiado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CMA-03-i 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Planejamento Urbano - Gestão Ambiental em Áreas Urbanas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2054 Planejamento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Urbano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20W3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Apoio à Gestão Ambiental em Áreas Urbanas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Apoio realizado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CMA-04-i - Conservação e Uso Sustentável da Biodiversidade 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2078 Conservação e Uso Sustentável da Biodiversidade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20VN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Conservação e Recuperação de Ecossistemas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Ação desenvolvida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CMA-05-i - Promoção e Fortalecimento da Agricultura Familiar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2050 Mudança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Clima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20W1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Iniciativas para Implementação da Política Nacional sobre Mudança do Clima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Política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implementada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CMA-06-i - Apoio ao Desenvolvimento e Controle da Agricultura Orgânica - Pró-Orgânico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2077 Agropecuária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Sustentável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8606 - Apoio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ao Desenvolvimento e Controle da Agricultura Orgânica - Pró-Orgânico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Unidade controlada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CMA-07-i - Qualidade Ambiental - Resíduos Sólidos 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2083 Qualidade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Ambiental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20W6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Apoio à Implementação de Instrumentos Estruturantes da Política Nacional de Resíduos Sólidos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Política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implementada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Cristovam Buarque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CMA-08-i 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Fomento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Projetos de Desenvolvimento Sustentável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2083 Qualidade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Ambiental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20M6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Fomento a Projetos de Desenvolvimento Sustentável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Projeto apoiado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Rudson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Leite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76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CMA-09-i - Conservação e Uso Sustentável da Biodiversidade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2078 Conservação e Uso Sustentável da Biodiversidade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8499 -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Projetos de Gestão Integrada do Meio Ambiente (PNMA II)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Projeto apoiado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Grazziotin</w:t>
            </w:r>
            <w:proofErr w:type="spellEnd"/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CMA-10-i - Monitoramento da Cobertura da Terra e do Risco de Queimadas e Incêndios Florestais (INPE)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2050 Mudança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Clima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20V9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Monitoramento da Cobertura da Terra e do Risco de Queimadas e Incêndios Florestais (INPE)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Mapa divulgado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Grazziotin</w:t>
            </w:r>
            <w:proofErr w:type="spellEnd"/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53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CMA-11-i - Implantação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 Projeto Solar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Geração de Energia Elétrica, a Partir de Painéis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Fotovoltáicos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e de Linhas de Transmissão Associada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2033 Energia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Elétrica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14NC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Implantação do Projeto Solar para Geração de Energia Elétrica, a partir de Painéis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Fotovoltáicos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e de LT associada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Sistema implantado (% de execução física)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Hélio José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275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CMA-12-i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Castramóveis</w:t>
            </w:r>
            <w:proofErr w:type="spellEnd"/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2015 Fortalecimento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Sistema Único de Saúde (SUS)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2E87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Controle da população de animais em situações excepcionais (castração e atenção veterinária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LDO 2018, art. 39)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Animal manejado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CMA-13-i - Regularização Ambiental dos Imóveis Rurais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2078 Conservação e Uso Sustentável da Biodiversidade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8308 - Regularização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Ambiental dos Imóveis Rurais nas Unidades da Federação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Unidade da Federação integrada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Jorge Viana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53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CMA-14-i - Desenvolvimento Sustentável da Economia de Patrimônio Genético e Conhecimentos Tradicionais Associados e Repartição de Benefícios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2078 Conservação e Uso Sustentável da Biodiversidade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20TS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Desenvolvimento Sustentável da Economia de Patrimônio Genético e Conhecimentos Tradicionais Associados e Repartição de Benefícios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Ação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implementada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Jorge Viana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Inclusão de meta</w:t>
            </w:r>
          </w:p>
        </w:tc>
      </w:tr>
      <w:tr w:rsidR="000F4CD8">
        <w:trPr>
          <w:trHeight w:val="1020"/>
        </w:trPr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CMA-15-a - Demarcação e Fiscalização de Terras Indígenas e Proteção dos Povos Indígenas Isolados</w:t>
            </w:r>
          </w:p>
        </w:tc>
        <w:tc>
          <w:tcPr>
            <w:tcW w:w="17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 Proteção e Promoção dos Direitos dos Povos Indígenas</w:t>
            </w:r>
          </w:p>
        </w:tc>
        <w:tc>
          <w:tcPr>
            <w:tcW w:w="23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20UF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Demarcação e Fiscalização de Terras Indígenas e Proteção dos Povos Indígenas Isolados</w:t>
            </w:r>
          </w:p>
        </w:tc>
        <w:tc>
          <w:tcPr>
            <w:tcW w:w="1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Terra indígena protegida (unidade)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Jorge Viana</w:t>
            </w:r>
          </w:p>
        </w:tc>
        <w:tc>
          <w:tcPr>
            <w:tcW w:w="12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Acréscimo de meta</w:t>
            </w:r>
          </w:p>
        </w:tc>
      </w:tr>
    </w:tbl>
    <w:p w:rsidR="000F4CD8" w:rsidRDefault="000F4CD8">
      <w:pPr>
        <w:rPr>
          <w:b/>
          <w:sz w:val="28"/>
          <w:szCs w:val="28"/>
        </w:rPr>
      </w:pPr>
    </w:p>
    <w:p w:rsidR="000F4CD8" w:rsidRDefault="000F4CD8">
      <w:pPr>
        <w:rPr>
          <w:b/>
          <w:sz w:val="28"/>
          <w:szCs w:val="28"/>
        </w:rPr>
      </w:pPr>
    </w:p>
    <w:p w:rsidR="000F4CD8" w:rsidRDefault="0064647A">
      <w:pPr>
        <w:keepNext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SUGESTÃO DE EMENDA AO TEXTO DA LEI</w:t>
      </w:r>
    </w:p>
    <w:p w:rsidR="000F4CD8" w:rsidRDefault="000F4CD8">
      <w:pPr>
        <w:keepNext/>
        <w:ind w:left="-851" w:firstLine="425"/>
        <w:rPr>
          <w:b/>
          <w:sz w:val="28"/>
          <w:szCs w:val="28"/>
        </w:rPr>
      </w:pPr>
    </w:p>
    <w:tbl>
      <w:tblPr>
        <w:tblW w:w="13041" w:type="dxa"/>
        <w:tblInd w:w="69" w:type="dxa"/>
        <w:tblBorders>
          <w:top w:val="single" w:sz="6" w:space="0" w:color="00000A"/>
          <w:left w:val="doub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/>
      </w:tblPr>
      <w:tblGrid>
        <w:gridCol w:w="1206"/>
        <w:gridCol w:w="3148"/>
        <w:gridCol w:w="2794"/>
        <w:gridCol w:w="3229"/>
        <w:gridCol w:w="2664"/>
      </w:tblGrid>
      <w:tr w:rsidR="000F4CD8">
        <w:trPr>
          <w:trHeight w:val="590"/>
          <w:tblHeader/>
        </w:trPr>
        <w:tc>
          <w:tcPr>
            <w:tcW w:w="1065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left w:w="69" w:type="dxa"/>
            </w:tcMar>
            <w:vAlign w:val="center"/>
          </w:tcPr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EMENDA Nº</w:t>
            </w:r>
          </w:p>
        </w:tc>
        <w:tc>
          <w:tcPr>
            <w:tcW w:w="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EMENTA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TIPO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REFERÊNCIA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CCCCCC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AUTOR/</w:t>
            </w:r>
          </w:p>
          <w:p w:rsidR="000F4CD8" w:rsidRDefault="0064647A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SENADOR</w:t>
            </w:r>
          </w:p>
        </w:tc>
      </w:tr>
      <w:tr w:rsidR="000F4CD8">
        <w:trPr>
          <w:trHeight w:val="801"/>
          <w:tblHeader/>
        </w:trPr>
        <w:tc>
          <w:tcPr>
            <w:tcW w:w="1065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:rsidR="000F4CD8" w:rsidRDefault="0064647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CMA-16-t - Fomento à Exportação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Aditiva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Style w:val="normal1"/>
                <w:rFonts w:ascii="Arial" w:hAnsi="Arial" w:cs="Arial"/>
                <w:color w:val="000000"/>
              </w:rPr>
              <w:t>Corpo da lei - Artigo 11 Inciso XV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:rsidR="000F4CD8" w:rsidRDefault="0064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Fagundes</w:t>
            </w:r>
          </w:p>
        </w:tc>
      </w:tr>
    </w:tbl>
    <w:p w:rsidR="000F4CD8" w:rsidRDefault="000F4CD8">
      <w:pPr>
        <w:ind w:right="283"/>
      </w:pPr>
    </w:p>
    <w:sectPr w:rsidR="000F4CD8" w:rsidSect="00A645C7">
      <w:headerReference w:type="default" r:id="rId10"/>
      <w:footerReference w:type="default" r:id="rId11"/>
      <w:pgSz w:w="16838" w:h="11906" w:orient="landscape"/>
      <w:pgMar w:top="851" w:right="1418" w:bottom="1134" w:left="2552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ED7" w:rsidRDefault="00400ED7">
      <w:r>
        <w:separator/>
      </w:r>
    </w:p>
  </w:endnote>
  <w:endnote w:type="continuationSeparator" w:id="0">
    <w:p w:rsidR="00400ED7" w:rsidRDefault="0040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7" w:rsidRDefault="00400ED7">
    <w:pPr>
      <w:pStyle w:val="Rodap"/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7" w:rsidRDefault="00400ED7">
    <w:pPr>
      <w:pStyle w:val="Rodap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ED7" w:rsidRDefault="00400ED7">
      <w:r>
        <w:separator/>
      </w:r>
    </w:p>
  </w:footnote>
  <w:footnote w:type="continuationSeparator" w:id="0">
    <w:p w:rsidR="00400ED7" w:rsidRDefault="00400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7" w:rsidRDefault="00400ED7">
    <w:pPr>
      <w:pStyle w:val="Cabealho"/>
      <w:tabs>
        <w:tab w:val="left" w:pos="5556"/>
        <w:tab w:val="center" w:pos="6323"/>
      </w:tabs>
      <w:ind w:right="360"/>
    </w:pPr>
    <w:r>
      <w:rPr>
        <w:noProof/>
      </w:rPr>
      <w:drawing>
        <wp:inline distT="0" distB="0" distL="19050" distR="9525">
          <wp:extent cx="923925" cy="971550"/>
          <wp:effectExtent l="0" t="0" r="0" b="0"/>
          <wp:docPr id="3" name="Imagem 1" descr="Brasa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_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74A">
      <w:rPr>
        <w:noProof/>
      </w:rPr>
      <w:pict>
        <v:rect id="Text Box 1" o:spid="_x0000_s2050" style="position:absolute;margin-left:75.65pt;margin-top:7.45pt;width:408.85pt;height:48.95pt;z-index:-503316475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" stroked="f">
          <v:textbox style="mso-fit-shape-to-text:t">
            <w:txbxContent>
              <w:p w:rsidR="00400ED7" w:rsidRDefault="00400ED7">
                <w:pPr>
                  <w:pStyle w:val="Contedodoquadro"/>
                  <w:spacing w:line="360" w:lineRule="aut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SENADO FEDERAL </w:t>
                </w:r>
              </w:p>
              <w:p w:rsidR="00400ED7" w:rsidRDefault="00400ED7">
                <w:pPr>
                  <w:pStyle w:val="Contedodoquadr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Comissão de Meio Ambiente</w:t>
                </w:r>
              </w:p>
            </w:txbxContent>
          </v:textbox>
        </v:rect>
      </w:pict>
    </w:r>
    <w:r w:rsidR="003947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2" o:spid="_x0000_s2049" type="#_x0000_t202" style="position:absolute;margin-left:-158.2pt;margin-top:.05pt;width:6.05pt;height:13.8pt;z-index:1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Fz8gVuAEAAGw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:rsidR="00400ED7" w:rsidRDefault="0039474A">
                <w:pPr>
                  <w:pStyle w:val="Cabealho"/>
                </w:pPr>
                <w:r w:rsidRPr="0039474A">
                  <w:rPr>
                    <w:rStyle w:val="Nmerodepgina"/>
                  </w:rPr>
                  <w:fldChar w:fldCharType="begin"/>
                </w:r>
                <w:r w:rsidR="00400ED7">
                  <w:instrText>PAGE</w:instrText>
                </w:r>
                <w:r>
                  <w:fldChar w:fldCharType="separate"/>
                </w:r>
                <w:r w:rsidR="00BB436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7" w:rsidRDefault="00400ED7">
    <w:pPr>
      <w:pStyle w:val="Cabealho"/>
      <w:tabs>
        <w:tab w:val="left" w:pos="5556"/>
        <w:tab w:val="center" w:pos="6323"/>
      </w:tabs>
      <w:ind w:right="360"/>
    </w:pPr>
    <w:r>
      <w:rPr>
        <w:noProof/>
      </w:rPr>
      <w:drawing>
        <wp:inline distT="0" distB="0" distL="19050" distR="9525">
          <wp:extent cx="923925" cy="971550"/>
          <wp:effectExtent l="0" t="0" r="0" b="0"/>
          <wp:docPr id="5" name="Imagem 5" descr="Brasa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Brasao_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47A"/>
    <w:multiLevelType w:val="multilevel"/>
    <w:tmpl w:val="E21AC218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B077D"/>
    <w:multiLevelType w:val="multilevel"/>
    <w:tmpl w:val="055CD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8D6BCB"/>
    <w:multiLevelType w:val="multilevel"/>
    <w:tmpl w:val="45123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4CD8"/>
    <w:rsid w:val="000F4CD8"/>
    <w:rsid w:val="0039474A"/>
    <w:rsid w:val="00396912"/>
    <w:rsid w:val="00400ED7"/>
    <w:rsid w:val="00421EE6"/>
    <w:rsid w:val="0064647A"/>
    <w:rsid w:val="006909CD"/>
    <w:rsid w:val="007E4C10"/>
    <w:rsid w:val="0080670F"/>
    <w:rsid w:val="008604D3"/>
    <w:rsid w:val="008A6DCD"/>
    <w:rsid w:val="00A55E96"/>
    <w:rsid w:val="00A645C7"/>
    <w:rsid w:val="00AA4FD1"/>
    <w:rsid w:val="00BB436D"/>
    <w:rsid w:val="00DE196A"/>
    <w:rsid w:val="00EA323D"/>
    <w:rsid w:val="00F9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EC"/>
    <w:rPr>
      <w:sz w:val="24"/>
      <w:szCs w:val="24"/>
    </w:rPr>
  </w:style>
  <w:style w:type="paragraph" w:styleId="Ttulo1">
    <w:name w:val="heading 1"/>
    <w:basedOn w:val="Normal"/>
    <w:next w:val="Normal"/>
    <w:qFormat/>
    <w:rsid w:val="00DE1FEC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qFormat/>
    <w:rsid w:val="00DE1FEC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qFormat/>
    <w:rsid w:val="00DE1FEC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DE1FEC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E1FEC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E1FEC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E1FEC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DE1FEC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E1FEC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qFormat/>
    <w:rsid w:val="00BC2571"/>
  </w:style>
  <w:style w:type="character" w:customStyle="1" w:styleId="RodapChar">
    <w:name w:val="Rodapé Char"/>
    <w:link w:val="Rodap"/>
    <w:uiPriority w:val="99"/>
    <w:qFormat/>
    <w:rsid w:val="00EA70F2"/>
    <w:rPr>
      <w:sz w:val="24"/>
      <w:szCs w:val="24"/>
    </w:rPr>
  </w:style>
  <w:style w:type="character" w:customStyle="1" w:styleId="normal1">
    <w:name w:val="normal1"/>
    <w:basedOn w:val="Fontepargpadro"/>
    <w:qFormat/>
    <w:rsid w:val="00866FE1"/>
  </w:style>
  <w:style w:type="paragraph" w:styleId="Ttulo">
    <w:name w:val="Title"/>
    <w:basedOn w:val="Normal"/>
    <w:next w:val="Corpodetexto"/>
    <w:qFormat/>
    <w:rsid w:val="00A645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Lista">
    <w:name w:val="List"/>
    <w:basedOn w:val="Corpodetexto"/>
    <w:rsid w:val="00A645C7"/>
    <w:rPr>
      <w:rFonts w:cs="Arial"/>
    </w:rPr>
  </w:style>
  <w:style w:type="paragraph" w:styleId="Legenda">
    <w:name w:val="caption"/>
    <w:basedOn w:val="Normal"/>
    <w:qFormat/>
    <w:rsid w:val="00A645C7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A645C7"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DE1FEC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DE1FEC"/>
    <w:pPr>
      <w:spacing w:after="240"/>
      <w:ind w:firstLine="709"/>
      <w:jc w:val="both"/>
    </w:pPr>
  </w:style>
  <w:style w:type="paragraph" w:styleId="Cabealho">
    <w:name w:val="header"/>
    <w:basedOn w:val="Normal"/>
    <w:rsid w:val="00DE1F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E1FEC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qFormat/>
    <w:rsid w:val="00467B64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C0C0C0" w:fill="auto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C0C0C0" w:fill="auto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qFormat/>
    <w:rsid w:val="00467B64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FFFFFF" w:fill="auto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FF" w:fill="auto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qFormat/>
    <w:rsid w:val="00467B64"/>
    <w:pPr>
      <w:pBdr>
        <w:top w:val="single" w:sz="4" w:space="0" w:color="000001"/>
        <w:bottom w:val="single" w:sz="4" w:space="0" w:color="000001"/>
      </w:pBdr>
      <w:shd w:val="clear" w:color="C0C0C0" w:fill="auto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qFormat/>
    <w:rsid w:val="00467B64"/>
    <w:pPr>
      <w:pBdr>
        <w:top w:val="single" w:sz="4" w:space="0" w:color="000001"/>
        <w:bottom w:val="single" w:sz="4" w:space="0" w:color="000001"/>
      </w:pBdr>
      <w:shd w:val="clear" w:color="C0C0C0" w:fill="auto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qFormat/>
    <w:rsid w:val="00467B64"/>
    <w:pPr>
      <w:pBdr>
        <w:right w:val="single" w:sz="4" w:space="0" w:color="000001"/>
      </w:pBdr>
      <w:shd w:val="clear" w:color="FFFFFF" w:fill="auto"/>
      <w:spacing w:beforeAutospacing="1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qFormat/>
    <w:rsid w:val="00467B64"/>
    <w:pPr>
      <w:pBdr>
        <w:bottom w:val="single" w:sz="4" w:space="0" w:color="000001"/>
        <w:right w:val="single" w:sz="4" w:space="0" w:color="000001"/>
      </w:pBdr>
      <w:shd w:val="clear" w:color="FFFFFF" w:fill="auto"/>
      <w:spacing w:beforeAutospacing="1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qFormat/>
    <w:rsid w:val="00467B64"/>
    <w:pPr>
      <w:pBdr>
        <w:bottom w:val="single" w:sz="4" w:space="0" w:color="000001"/>
      </w:pBdr>
      <w:shd w:val="clear" w:color="FFFFFF" w:fill="auto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qFormat/>
    <w:rsid w:val="00467B64"/>
    <w:pPr>
      <w:pBdr>
        <w:top w:val="single" w:sz="4" w:space="0" w:color="000001"/>
        <w:bottom w:val="single" w:sz="4" w:space="0" w:color="000001"/>
      </w:pBdr>
      <w:shd w:val="clear" w:color="FFFFFF" w:fill="auto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C0C0C0" w:fill="auto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FF" w:fill="auto"/>
      <w:spacing w:beforeAutospacing="1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FFFFFF" w:fill="auto"/>
      <w:spacing w:beforeAutospacing="1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C0C0C0" w:fill="auto"/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C0C0C0" w:fill="auto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qFormat/>
    <w:rsid w:val="00467B64"/>
    <w:pPr>
      <w:spacing w:beforeAutospacing="1" w:afterAutospacing="1"/>
    </w:pPr>
    <w:rPr>
      <w:sz w:val="16"/>
      <w:szCs w:val="16"/>
    </w:rPr>
  </w:style>
  <w:style w:type="paragraph" w:customStyle="1" w:styleId="xl40">
    <w:name w:val="xl40"/>
    <w:basedOn w:val="Normal"/>
    <w:qFormat/>
    <w:rsid w:val="00467B64"/>
    <w:pPr>
      <w:pBdr>
        <w:top w:val="single" w:sz="4" w:space="0" w:color="000001"/>
        <w:bottom w:val="single" w:sz="4" w:space="0" w:color="00000A"/>
      </w:pBdr>
      <w:shd w:val="clear" w:color="C0C0C0" w:fill="auto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qFormat/>
    <w:rsid w:val="00467B64"/>
    <w:pPr>
      <w:pBdr>
        <w:top w:val="single" w:sz="4" w:space="0" w:color="000001"/>
        <w:bottom w:val="single" w:sz="4" w:space="0" w:color="00000A"/>
      </w:pBdr>
      <w:shd w:val="clear" w:color="C0C0C0" w:fill="auto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A"/>
        <w:right w:val="single" w:sz="4" w:space="0" w:color="000001"/>
      </w:pBdr>
      <w:shd w:val="clear" w:color="C0C0C0" w:fill="auto"/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qFormat/>
    <w:rsid w:val="00467B64"/>
    <w:pPr>
      <w:pBdr>
        <w:top w:val="single" w:sz="4" w:space="0" w:color="000001"/>
        <w:left w:val="single" w:sz="4" w:space="0" w:color="000001"/>
        <w:bottom w:val="single" w:sz="4" w:space="0" w:color="00000A"/>
      </w:pBdr>
      <w:shd w:val="clear" w:color="C0C0C0" w:fill="auto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qFormat/>
    <w:rsid w:val="00467B64"/>
    <w:pPr>
      <w:spacing w:beforeAutospacing="1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qFormat/>
    <w:rsid w:val="00663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6E20B5"/>
    <w:pPr>
      <w:spacing w:beforeAutospacing="1" w:afterAutospacing="1"/>
    </w:pPr>
  </w:style>
  <w:style w:type="paragraph" w:customStyle="1" w:styleId="Contedodoquadro">
    <w:name w:val="Conteúdo do quadro"/>
    <w:basedOn w:val="Normal"/>
    <w:qFormat/>
    <w:rsid w:val="00A645C7"/>
  </w:style>
  <w:style w:type="table" w:styleId="Tabelacomgrade">
    <w:name w:val="Table Grid"/>
    <w:basedOn w:val="Tabelanormal"/>
    <w:uiPriority w:val="59"/>
    <w:rsid w:val="000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022E21-A88E-4BAE-8065-D07B6A9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dc:description/>
  <cp:lastModifiedBy>maribe</cp:lastModifiedBy>
  <cp:revision>13</cp:revision>
  <cp:lastPrinted>2018-06-26T14:31:00Z</cp:lastPrinted>
  <dcterms:created xsi:type="dcterms:W3CDTF">2018-06-25T17:26:00Z</dcterms:created>
  <dcterms:modified xsi:type="dcterms:W3CDTF">2018-06-26T15:15:00Z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