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5D3A5" w14:textId="77777777" w:rsidR="00AC65A7" w:rsidRPr="00AC65A7" w:rsidRDefault="00AC65A7" w:rsidP="00AC65A7">
      <w:pPr>
        <w:ind w:left="-567"/>
      </w:pPr>
      <w:r w:rsidRPr="00AC65A7">
        <w:t xml:space="preserve">Excelentíssimos Sr. Senador Cristovam Buarque, digníssimo Presidente da Comissão de Ciência, Tecnologia, Inovação, Comunicação e Informática, e Sr. Senador </w:t>
      </w:r>
      <w:proofErr w:type="spellStart"/>
      <w:r w:rsidRPr="00AC65A7">
        <w:t>Lasier</w:t>
      </w:r>
      <w:proofErr w:type="spellEnd"/>
      <w:r w:rsidRPr="00AC65A7">
        <w:t xml:space="preserve"> Martins, Membro Titular da mesma Comissão</w:t>
      </w:r>
    </w:p>
    <w:p w14:paraId="49A551DC" w14:textId="77777777" w:rsidR="00AC65A7" w:rsidRPr="00AC65A7" w:rsidRDefault="00AC65A7" w:rsidP="00AC65A7">
      <w:pPr>
        <w:ind w:left="-567"/>
      </w:pPr>
      <w:r w:rsidRPr="00AC65A7">
        <w:t>Senhoras e Senhores Parlamentares</w:t>
      </w:r>
    </w:p>
    <w:p w14:paraId="66423492" w14:textId="77777777" w:rsidR="00AC65A7" w:rsidRPr="00AC65A7" w:rsidRDefault="00AC65A7" w:rsidP="00AC65A7">
      <w:pPr>
        <w:ind w:left="-567"/>
      </w:pPr>
      <w:r w:rsidRPr="00AC65A7">
        <w:t>Senhoras e Senhores</w:t>
      </w:r>
    </w:p>
    <w:p w14:paraId="14E7A21A" w14:textId="77777777" w:rsidR="0017684A" w:rsidRDefault="0017684A" w:rsidP="00AC65A7">
      <w:pPr>
        <w:ind w:left="-567"/>
      </w:pPr>
    </w:p>
    <w:p w14:paraId="154289DA" w14:textId="77777777" w:rsidR="00AC65A7" w:rsidRPr="00AC65A7" w:rsidRDefault="00AC65A7" w:rsidP="00AC65A7">
      <w:pPr>
        <w:ind w:left="-567"/>
        <w:jc w:val="both"/>
      </w:pPr>
      <w:r w:rsidRPr="00AC65A7">
        <w:t>Uma das iniciativas de estabelecimento de um programa espacial no Brasil ocorreu quando brasileiros e franceses discutiram a possibilidade de criação de uma Missão Espacial Brasileira, a ser executada em parceria com o CNES (a Agência Espacial Francesa).</w:t>
      </w:r>
    </w:p>
    <w:p w14:paraId="34AF31D5" w14:textId="77777777" w:rsidR="00AC65A7" w:rsidRDefault="00AC65A7" w:rsidP="00AC65A7">
      <w:pPr>
        <w:ind w:left="-567"/>
        <w:jc w:val="both"/>
      </w:pPr>
    </w:p>
    <w:p w14:paraId="401796B7" w14:textId="77777777" w:rsidR="00AC65A7" w:rsidRPr="00AC65A7" w:rsidRDefault="00AC65A7" w:rsidP="00AC65A7">
      <w:pPr>
        <w:ind w:left="-567"/>
        <w:jc w:val="both"/>
      </w:pPr>
      <w:r w:rsidRPr="00AC65A7">
        <w:t xml:space="preserve">É interessante observar um pressuposto: a implantação de uma empresa que gradativamente deveria transformar-se em uma Integradora, também denominada Contratante Principal. </w:t>
      </w:r>
    </w:p>
    <w:p w14:paraId="63FDB841" w14:textId="77777777" w:rsidR="00AC65A7" w:rsidRDefault="00AC65A7" w:rsidP="00AC65A7">
      <w:pPr>
        <w:ind w:left="-567"/>
        <w:jc w:val="both"/>
      </w:pPr>
    </w:p>
    <w:p w14:paraId="17928449" w14:textId="77777777" w:rsidR="00AC65A7" w:rsidRPr="00AC65A7" w:rsidRDefault="00AC65A7" w:rsidP="00AC65A7">
      <w:pPr>
        <w:ind w:left="-567"/>
        <w:jc w:val="both"/>
      </w:pPr>
      <w:r w:rsidRPr="00AC65A7">
        <w:t xml:space="preserve">A ideia de organizar, o que se tornaria o Programa Espacial Brasileiro, como um sistema, foi lançada, em seguida, nos anos 70 com a criação, no âmbito do Estado Maior das Forças Armadas (EMFA), da Comissão Brasileira de Atividades Espaciais (COBAE). </w:t>
      </w:r>
    </w:p>
    <w:p w14:paraId="6AE9A2DC" w14:textId="77777777" w:rsidR="00AC65A7" w:rsidRDefault="00AC65A7" w:rsidP="00AC65A7">
      <w:pPr>
        <w:ind w:left="-567"/>
        <w:jc w:val="both"/>
      </w:pPr>
    </w:p>
    <w:p w14:paraId="2019B08F" w14:textId="77777777" w:rsidR="00AC65A7" w:rsidRPr="00AC65A7" w:rsidRDefault="00AC65A7" w:rsidP="00AC65A7">
      <w:pPr>
        <w:ind w:left="-567"/>
        <w:jc w:val="both"/>
      </w:pPr>
      <w:r w:rsidRPr="00AC65A7">
        <w:t>Responsabilizou-se a COBAE em conceber e implementar a então denominada Missão Espacial Completa Brasileira (MECB) – um programa integrado que tinha como meta o estabelecimento de autonomia na área espacial, ou seja, colocar satélites brasileiros em órbita, com foguetes nacionais, a partir de um Centro de Lançamentos próprio.</w:t>
      </w:r>
    </w:p>
    <w:p w14:paraId="14972150" w14:textId="77777777" w:rsidR="00AC65A7" w:rsidRDefault="00AC65A7" w:rsidP="00AC65A7">
      <w:pPr>
        <w:ind w:left="-567"/>
        <w:jc w:val="both"/>
      </w:pPr>
    </w:p>
    <w:p w14:paraId="04E5B8DB" w14:textId="77777777" w:rsidR="00BD23DD" w:rsidRPr="00BD23DD" w:rsidRDefault="00AC65A7" w:rsidP="00BD23DD">
      <w:pPr>
        <w:ind w:left="-567"/>
      </w:pPr>
      <w:r w:rsidRPr="00AC65A7">
        <w:t>A MECB foi a tônica do programa espacial nos anos 80 e início dos anos 90, tendo sido responsável por lançar as bases da infraestrutura e dos quadros técnicos que permanecem até hoje</w:t>
      </w:r>
      <w:r w:rsidR="00BD23DD">
        <w:t xml:space="preserve">, </w:t>
      </w:r>
      <w:r w:rsidR="00BD23DD" w:rsidRPr="00BD23DD">
        <w:t>assim como dos primeiros resultados concretos na área de satélites: o SCD1e o SCD2.</w:t>
      </w:r>
    </w:p>
    <w:p w14:paraId="7BF16546" w14:textId="77777777" w:rsidR="00AC65A7" w:rsidRDefault="00AC65A7" w:rsidP="00AC65A7">
      <w:pPr>
        <w:ind w:left="-567"/>
        <w:jc w:val="both"/>
      </w:pPr>
    </w:p>
    <w:p w14:paraId="76C725B6" w14:textId="77777777" w:rsidR="00AC65A7" w:rsidRPr="00AC65A7" w:rsidRDefault="00AC65A7" w:rsidP="00AC65A7">
      <w:pPr>
        <w:ind w:left="-567"/>
        <w:jc w:val="both"/>
      </w:pPr>
      <w:r w:rsidRPr="00AC65A7">
        <w:t xml:space="preserve">Em 1988 acontece um fato interessante. Brasil e China decidem desenvolver uma família de Satélites de Observação da Terra (CBERS), dando início a um outro tipo de integração – a integração por oportunidade, mas também por necessidade, valendo-se de parcerias estratégicas, baseadas em dois fatores considerados de suprema importância – os benefícios mútuos e o desenvolvimento conjunto. </w:t>
      </w:r>
    </w:p>
    <w:p w14:paraId="50FEBDEA" w14:textId="77777777" w:rsidR="00AC65A7" w:rsidRDefault="00AC65A7" w:rsidP="00AC65A7">
      <w:pPr>
        <w:ind w:left="-567"/>
        <w:jc w:val="both"/>
      </w:pPr>
    </w:p>
    <w:p w14:paraId="57C88B27" w14:textId="77777777" w:rsidR="00AC65A7" w:rsidRPr="00AC65A7" w:rsidRDefault="00AC65A7" w:rsidP="00AC65A7">
      <w:pPr>
        <w:ind w:left="-567"/>
        <w:jc w:val="both"/>
      </w:pPr>
      <w:r w:rsidRPr="00AC65A7">
        <w:t xml:space="preserve">Ações, como essa, foram também bastante utilizadas no início das atividades espaciais no Brasil, nos anos 60, a partir de iniciativas de parcerias internacionais envolvendo foguetes de sondagem para lançamentos de experimentos suborbitais, permanecendo até hoje, e estabelecendo um alto padrão de inserção global do Brasil neste segmento. </w:t>
      </w:r>
    </w:p>
    <w:p w14:paraId="438F4C81" w14:textId="77777777" w:rsidR="00AC65A7" w:rsidRPr="00AC65A7" w:rsidRDefault="00AC65A7" w:rsidP="00AC65A7">
      <w:pPr>
        <w:ind w:left="-567"/>
        <w:jc w:val="both"/>
      </w:pPr>
      <w:r w:rsidRPr="00AC65A7">
        <w:t>Os dois exemplos servem para enfatizar o fato de que parcerias internacionais, quando bem construídas, podem ser utilizadas como um importante instrumento para o alcance da autonomia, pré-requisito fundamental que norteia o nosso programa.</w:t>
      </w:r>
    </w:p>
    <w:p w14:paraId="6B76DBEF" w14:textId="77777777" w:rsidR="00AC65A7" w:rsidRDefault="00AC65A7" w:rsidP="00AC65A7">
      <w:pPr>
        <w:ind w:left="-567"/>
        <w:jc w:val="both"/>
      </w:pPr>
    </w:p>
    <w:p w14:paraId="49E04F51" w14:textId="77777777" w:rsidR="00AC65A7" w:rsidRPr="00AC65A7" w:rsidRDefault="00AC65A7" w:rsidP="00AC65A7">
      <w:pPr>
        <w:ind w:left="-567"/>
        <w:jc w:val="both"/>
      </w:pPr>
      <w:r w:rsidRPr="00AC65A7">
        <w:t xml:space="preserve">O programa de cooperação e parceria entre os Governos do Brasil e da China, denominado CBERS, iniciado em julho de 1988 – o principal responsável pela criação de nossa base industrial espacial – em sua segunda fase de execução, cumpriu um marco importante, o lançamento, em 7 de dezembro de 2014, do CBERS-4. Em </w:t>
      </w:r>
      <w:r w:rsidRPr="00AC65A7">
        <w:lastRenderedPageBreak/>
        <w:t>sequência estamos trabalhando para o lançamento do próximo satélite desta fase, o CBERS-4A.</w:t>
      </w:r>
    </w:p>
    <w:p w14:paraId="3D4FBB0E" w14:textId="77777777" w:rsidR="00AC65A7" w:rsidRPr="00AC65A7" w:rsidRDefault="00AC65A7" w:rsidP="00AC65A7">
      <w:pPr>
        <w:ind w:left="-567"/>
        <w:jc w:val="both"/>
      </w:pPr>
      <w:r w:rsidRPr="00AC65A7">
        <w:t xml:space="preserve">O programa CBERS, teve sua continuação firmada pelos dois governos em 2013. Trata-se de um Plano Decenal contendo um conjunto mais abrangente de ações, já aprovado pela Comissão Sino-Brasileira de Alto Nível de Concertação e Cooperação (COSBAN). </w:t>
      </w:r>
    </w:p>
    <w:p w14:paraId="36C7DFC1" w14:textId="77777777" w:rsidR="003C766E" w:rsidRDefault="003C766E" w:rsidP="00AC65A7">
      <w:pPr>
        <w:ind w:left="-567"/>
        <w:jc w:val="both"/>
      </w:pPr>
    </w:p>
    <w:p w14:paraId="2CDFB685" w14:textId="77777777" w:rsidR="00AC65A7" w:rsidRPr="00AC65A7" w:rsidRDefault="00AC65A7" w:rsidP="00AC65A7">
      <w:pPr>
        <w:ind w:left="-567"/>
        <w:jc w:val="both"/>
      </w:pPr>
      <w:r w:rsidRPr="00AC65A7">
        <w:t xml:space="preserve">Em 1994 foi criada pela Lei No. 8.854, a Agência Espacial Brasileira (AEB), autarquia federal de natureza civil, hoje vinculada ao Ministério da Ciência, Tecnologia e Inovação (MCTI), com a incumbência de executar e fazer executar a Política Nacional de Desenvolvimento das Atividades Espaciais (PNDAE). </w:t>
      </w:r>
    </w:p>
    <w:p w14:paraId="1D69EA21" w14:textId="77777777" w:rsidR="00AC65A7" w:rsidRDefault="00AC65A7" w:rsidP="00AC65A7">
      <w:pPr>
        <w:ind w:left="-567"/>
        <w:jc w:val="both"/>
      </w:pPr>
    </w:p>
    <w:p w14:paraId="0347B75A" w14:textId="77777777" w:rsidR="00AC65A7" w:rsidRPr="00AC65A7" w:rsidRDefault="00AC65A7" w:rsidP="00AC65A7">
      <w:pPr>
        <w:ind w:left="-567"/>
        <w:jc w:val="both"/>
      </w:pPr>
      <w:r w:rsidRPr="00AC65A7">
        <w:t>Coube à AEB, a responsabilidade de dar continuidade aos projetos concebidos no âmbito da MECB, atualizando-os e acrescentando ações que integram, hoje, a nova agenda decenal estratégica do Programa Espacial Brasileiro, denominada Programa Nacional de Atividades Espaciais (PNAE).</w:t>
      </w:r>
    </w:p>
    <w:p w14:paraId="7151B67C" w14:textId="77777777" w:rsidR="00AC65A7" w:rsidRDefault="00AC65A7" w:rsidP="00AC65A7">
      <w:pPr>
        <w:ind w:left="-567"/>
        <w:jc w:val="both"/>
      </w:pPr>
    </w:p>
    <w:p w14:paraId="66D29521" w14:textId="77777777" w:rsidR="00AC65A7" w:rsidRPr="00AC65A7" w:rsidRDefault="00AC65A7" w:rsidP="00AC65A7">
      <w:pPr>
        <w:ind w:left="-567"/>
        <w:jc w:val="both"/>
      </w:pPr>
      <w:r w:rsidRPr="00AC65A7">
        <w:t xml:space="preserve">Na atualização do PNAE foram consideradas predominantes as características geoeconômicas relacionadas às expressivas potencialidades de utilização da tecnologia espacial a um largo espectro de aplicações com perfis genuinamente nacionais. Dentre essas características incluem-se: a grande extensão territorial e suas variadas vocações econômicas, sociais e ambientais; a concentração demográfica ao longo da zona costeira; as vastas regiões de florestas tropicais; as amplas áreas de difícil acesso e baixo nível de ocupação; a extensa fronteira marítima; a grande diversidade dos biomas, com seus diversos ecossistemas; e o expressivo volume de recursos naturais, ainda insatisfatoriamente qualificados. </w:t>
      </w:r>
    </w:p>
    <w:p w14:paraId="37AFFAEA" w14:textId="77777777" w:rsidR="00AC65A7" w:rsidRDefault="00AC65A7" w:rsidP="00AC65A7">
      <w:pPr>
        <w:ind w:left="-567"/>
        <w:jc w:val="both"/>
      </w:pPr>
    </w:p>
    <w:p w14:paraId="7539BA5F" w14:textId="77777777" w:rsidR="00AC65A7" w:rsidRPr="00AC65A7" w:rsidRDefault="00AC65A7" w:rsidP="00AC65A7">
      <w:pPr>
        <w:ind w:left="-567"/>
        <w:jc w:val="both"/>
      </w:pPr>
      <w:r w:rsidRPr="00AC65A7">
        <w:t xml:space="preserve">O direcionamento da política espacial, esboçado anteriormente, define focos e prioridades, mas não exclui ações que propiciem a participação qualificada de grupos de pesquisadores brasileiros ao compartilhamento de iniciativas científicas, nacionais ou internacionais, voltadas a pesquisas, em escalas mais amplas e profundas do universo espacial. </w:t>
      </w:r>
    </w:p>
    <w:p w14:paraId="42AFC6C6" w14:textId="77777777" w:rsidR="00AC65A7" w:rsidRDefault="00AC65A7" w:rsidP="00AC65A7">
      <w:pPr>
        <w:ind w:left="-567"/>
        <w:jc w:val="both"/>
      </w:pPr>
    </w:p>
    <w:p w14:paraId="6C6961EF" w14:textId="77777777" w:rsidR="00AC65A7" w:rsidRPr="00AC65A7" w:rsidRDefault="00AC65A7" w:rsidP="00AC65A7">
      <w:pPr>
        <w:ind w:left="-567"/>
        <w:jc w:val="both"/>
      </w:pPr>
      <w:r w:rsidRPr="00AC65A7">
        <w:t xml:space="preserve">O Programa Nacional de Atividades Espaciais, uma agenda programática sintonizada com as diretrizes da PNDAE, serve-se do mesmo contexto, para reforçar a determinação dos princípios de autonomia e soberania, pela utilização da ciência, da tecnologia e da inovação, como imperativos incondicionais ao desenvolvimento do país. Faz parte disso a integração da política espacial às demais políticas públicas, o fomento à formação e capacitação de recursos humanos, o reconhecimento da necessidade do domínio de tecnologias críticas, de acesso restrito, com a participação efetiva da indústria nacional em parceria com a competência e o talento existentes nas Universidades e Institutos de Pesquisas nacionais. </w:t>
      </w:r>
    </w:p>
    <w:p w14:paraId="21DEFD05" w14:textId="77777777" w:rsidR="00AC65A7" w:rsidRDefault="00AC65A7" w:rsidP="00AC65A7">
      <w:pPr>
        <w:ind w:left="-567"/>
        <w:jc w:val="both"/>
      </w:pPr>
    </w:p>
    <w:p w14:paraId="029D7193" w14:textId="77777777" w:rsidR="00AC65A7" w:rsidRPr="00AC65A7" w:rsidRDefault="00AC65A7" w:rsidP="00AC65A7">
      <w:pPr>
        <w:ind w:left="-567"/>
        <w:jc w:val="both"/>
      </w:pPr>
      <w:r w:rsidRPr="00AC65A7">
        <w:t xml:space="preserve">O Programa é mais abrangente do que a MECB, pois ele contempla, por exemplo, as ações de desenvolvimento de satélites operacionais de pequeno, médio e grande porte, para distintos meios e aplicações, bem como algumas alternativas acopladas a demandas mais modernas do mercado de lançadores. </w:t>
      </w:r>
    </w:p>
    <w:p w14:paraId="6D1AD630" w14:textId="77777777" w:rsidR="00AC65A7" w:rsidRDefault="00AC65A7" w:rsidP="00AC65A7">
      <w:pPr>
        <w:jc w:val="both"/>
      </w:pPr>
    </w:p>
    <w:p w14:paraId="3997DBB6" w14:textId="77777777" w:rsidR="00AC65A7" w:rsidRPr="00AC65A7" w:rsidRDefault="00AC65A7" w:rsidP="00AC65A7">
      <w:pPr>
        <w:ind w:left="-567"/>
        <w:jc w:val="both"/>
      </w:pPr>
      <w:r w:rsidRPr="00AC65A7">
        <w:t xml:space="preserve">Juntos à AEB, como órgão central, responsável pela coordenação geral do programa espacial, o Sistema Nacional de Desenvolvimento das Atividades Espaciais (SINDAE) conta com dois principais órgãos setoriais: o Instituto Nacional de Pesquisas Espaciais (INPE), a quem cabe a responsabilidade pelo desenvolvimento de tecnologias e sistemas satelitais, e o Departamento de Ciência e Tecnologia Aeroespacial (DCTA), onde fica situado o Instituto de Aeronáutica e Espaço (IAE), responsável pelo desenvolvimento de tecnologias para os sistemas de lançadores. </w:t>
      </w:r>
    </w:p>
    <w:p w14:paraId="11D4B1A8" w14:textId="77777777" w:rsidR="00AC65A7" w:rsidRDefault="00AC65A7" w:rsidP="00AC65A7">
      <w:pPr>
        <w:ind w:left="-567"/>
        <w:jc w:val="both"/>
      </w:pPr>
    </w:p>
    <w:p w14:paraId="27B03A06" w14:textId="77777777" w:rsidR="00AC65A7" w:rsidRPr="00AC65A7" w:rsidRDefault="00AC65A7" w:rsidP="00AC65A7">
      <w:pPr>
        <w:ind w:left="-567"/>
        <w:jc w:val="both"/>
      </w:pPr>
      <w:r w:rsidRPr="00AC65A7">
        <w:t xml:space="preserve">O DCTA é também responsável pela implementação, manutenção da infraestrutura e operação dos dois Centros de Lançamentos nacionais – o Centro de Lançamento da Barreira do Inferno (CLBI), em Natal, no Rio Grande do Norte, e o Centro de Lançamento de Alcântara, em Alcântara, no Maranhão. </w:t>
      </w:r>
    </w:p>
    <w:p w14:paraId="2EAEB04D" w14:textId="77777777" w:rsidR="00AC65A7" w:rsidRDefault="00AC65A7" w:rsidP="00AC65A7">
      <w:pPr>
        <w:ind w:left="-567"/>
        <w:jc w:val="both"/>
      </w:pPr>
    </w:p>
    <w:p w14:paraId="7EAE55AE" w14:textId="77777777" w:rsidR="00AC65A7" w:rsidRPr="00AC65A7" w:rsidRDefault="00AC65A7" w:rsidP="00AC65A7">
      <w:pPr>
        <w:ind w:left="-567"/>
        <w:jc w:val="both"/>
      </w:pPr>
      <w:r w:rsidRPr="00AC65A7">
        <w:t xml:space="preserve">Agregam-se a esses segmentos, a Indústria Nacional Espacial, as Universidades e, mais recentemente, os Usuários e Parceiros, aqueles que se utilizam diretamente e em primeira mão, dos benefícios dos empreendimentos. </w:t>
      </w:r>
    </w:p>
    <w:p w14:paraId="011A0101" w14:textId="77777777" w:rsidR="00AC65A7" w:rsidRDefault="00AC65A7" w:rsidP="00AC65A7">
      <w:pPr>
        <w:ind w:left="-567"/>
        <w:jc w:val="both"/>
      </w:pPr>
    </w:p>
    <w:p w14:paraId="5DA54287" w14:textId="77777777" w:rsidR="00AC65A7" w:rsidRPr="00AC65A7" w:rsidRDefault="00AC65A7" w:rsidP="00AC65A7">
      <w:pPr>
        <w:ind w:left="-567"/>
        <w:jc w:val="both"/>
      </w:pPr>
      <w:r w:rsidRPr="00AC65A7">
        <w:t>A instância deliberativa de mais alto nível da AEB é o seu Conselho Superior, que conta com representantes de diversos Ministérios e da Presidência da República, e representantes da Comunidade Científica e do Setor Industrial – são ao todo 19 Conselheiros Titulares.</w:t>
      </w:r>
    </w:p>
    <w:p w14:paraId="27F6139B" w14:textId="77777777" w:rsidR="00AC65A7" w:rsidRDefault="00AC65A7" w:rsidP="00AC65A7">
      <w:pPr>
        <w:ind w:left="-567"/>
        <w:jc w:val="both"/>
      </w:pPr>
    </w:p>
    <w:p w14:paraId="265AE917" w14:textId="77777777" w:rsidR="00AC65A7" w:rsidRPr="00AC65A7" w:rsidRDefault="00AC65A7" w:rsidP="00AC65A7">
      <w:pPr>
        <w:ind w:left="-567"/>
        <w:jc w:val="both"/>
      </w:pPr>
      <w:r w:rsidRPr="00AC65A7">
        <w:t xml:space="preserve">A missão de coordenação efetiva atribuída à AEB, em sua Lei de criação, teve seu momento de grande inflexão em 2005, quando o orçamento do PNAE foi integralmente transferido à gestão da agência. </w:t>
      </w:r>
    </w:p>
    <w:p w14:paraId="08ACF1A6" w14:textId="77777777" w:rsidR="00AC65A7" w:rsidRDefault="00AC65A7" w:rsidP="00AC65A7">
      <w:pPr>
        <w:ind w:left="-567"/>
        <w:jc w:val="both"/>
      </w:pPr>
    </w:p>
    <w:p w14:paraId="6DBF1C0F" w14:textId="77777777" w:rsidR="00AC65A7" w:rsidRPr="00AC65A7" w:rsidRDefault="00AC65A7" w:rsidP="00AC65A7">
      <w:pPr>
        <w:ind w:left="-567"/>
        <w:jc w:val="both"/>
      </w:pPr>
      <w:r w:rsidRPr="00AC65A7">
        <w:t>Inicia-se, a partir desta determinação, uma nova fase de relacionamento entre os agentes ativos do programa. Integração passa a ser e continua sendo, o grande objetivo. Aquilo que foi preconizado na Lei institutiva, como coordenar, EXECUTAR e fazer executar, temos utilizado para coordenar e fazer executar. Executar, apenas quando se tratam de operações coletivas, cujo envolvimento direto da Agência seja considerado absolutamente imprescindível.</w:t>
      </w:r>
    </w:p>
    <w:p w14:paraId="57A45279" w14:textId="77777777" w:rsidR="00AC65A7" w:rsidRDefault="00AC65A7" w:rsidP="00AC65A7">
      <w:pPr>
        <w:ind w:left="-567"/>
        <w:jc w:val="both"/>
      </w:pPr>
    </w:p>
    <w:p w14:paraId="55FCE2DE" w14:textId="77777777" w:rsidR="00AC65A7" w:rsidRDefault="00AC65A7" w:rsidP="00AC65A7">
      <w:pPr>
        <w:ind w:left="-567"/>
        <w:jc w:val="both"/>
      </w:pPr>
      <w:r w:rsidRPr="00AC65A7">
        <w:t xml:space="preserve">A despeito da atribuição legal de coordenação concedida à AEB, o Programa Espacial Brasileiro de hoje ultrapassa as fronteiras do PNAE. Estende-se a necessidades outras ditadas por segmentos importantes da nação. </w:t>
      </w:r>
    </w:p>
    <w:p w14:paraId="6198429A" w14:textId="77777777" w:rsidR="00AC65A7" w:rsidRDefault="00AC65A7" w:rsidP="00AC65A7">
      <w:pPr>
        <w:ind w:left="-567"/>
        <w:jc w:val="both"/>
      </w:pPr>
    </w:p>
    <w:p w14:paraId="293FF3A0" w14:textId="77777777" w:rsidR="00AC65A7" w:rsidRPr="00AC65A7" w:rsidRDefault="00AC65A7" w:rsidP="00AC65A7">
      <w:pPr>
        <w:ind w:left="-567"/>
        <w:jc w:val="both"/>
      </w:pPr>
      <w:r w:rsidRPr="00AC65A7">
        <w:t>A segurança Nacional, com sua envoltória operacional magnificamente abrangente, é um dos mais ilustres exemplos.</w:t>
      </w:r>
    </w:p>
    <w:p w14:paraId="15720743" w14:textId="77777777" w:rsidR="00AC65A7" w:rsidRDefault="00AC65A7" w:rsidP="00AC65A7">
      <w:pPr>
        <w:ind w:left="-567"/>
        <w:jc w:val="both"/>
      </w:pPr>
    </w:p>
    <w:p w14:paraId="528D496A" w14:textId="77777777" w:rsidR="00AC65A7" w:rsidRPr="00AC65A7" w:rsidRDefault="00AC65A7" w:rsidP="00AC65A7">
      <w:pPr>
        <w:ind w:left="-567"/>
        <w:jc w:val="both"/>
      </w:pPr>
      <w:r w:rsidRPr="00AC65A7">
        <w:t>Neste contexto, qual a postura da AEB? Total aderência! Colocar à disposição da Estratégia Nacional de Defesa, em especial do Programa Estratégico de Sistemas Espaciais (PESE), todos os instrumentos do PNAE e muito mais do que isto: promover os ajustes e acomodações necessárias visando a otimização e integração de todas as concorrentes iniciativas nacionais, na área espacial.</w:t>
      </w:r>
    </w:p>
    <w:p w14:paraId="11464A91" w14:textId="77777777" w:rsidR="00AC65A7" w:rsidRDefault="00AC65A7" w:rsidP="00AC65A7">
      <w:pPr>
        <w:ind w:left="-567"/>
        <w:jc w:val="both"/>
      </w:pPr>
    </w:p>
    <w:p w14:paraId="50A75519" w14:textId="77777777" w:rsidR="00AC65A7" w:rsidRPr="00AC65A7" w:rsidRDefault="00AC65A7" w:rsidP="00AC65A7">
      <w:pPr>
        <w:ind w:left="-567"/>
        <w:jc w:val="both"/>
      </w:pPr>
      <w:r w:rsidRPr="00AC65A7">
        <w:t xml:space="preserve">Foi assim que acolhemos a ideia do SGDC (o Satélite Geoestacionário de Defesa e Comunicação Estratégica). A maioria conhece a obstinação com que tratamos nessas últimas décadas da questão da inserção dos nossos agentes em assuntos relacionados ao desenvolvimento de satélites geoestacionários nacionais. O despontar de uma iniciativa do Governo brasileiro, relacionada a questões de segurança nacional e inclusão digital, criou esse grande evento. </w:t>
      </w:r>
    </w:p>
    <w:p w14:paraId="3E78714E" w14:textId="77777777" w:rsidR="00AC65A7" w:rsidRDefault="00AC65A7" w:rsidP="00AC65A7">
      <w:pPr>
        <w:ind w:left="-567"/>
        <w:jc w:val="both"/>
      </w:pPr>
    </w:p>
    <w:p w14:paraId="2D9F9348" w14:textId="77777777" w:rsidR="00AC65A7" w:rsidRPr="00AC65A7" w:rsidRDefault="00AC65A7" w:rsidP="00AC65A7">
      <w:pPr>
        <w:ind w:left="-567"/>
        <w:jc w:val="both"/>
      </w:pPr>
      <w:r w:rsidRPr="00AC65A7">
        <w:t>A participação do Ministério da Ciência, Tecnologia e Inovação (MCTI) deve-se à decisão de Estado de que era fundamental aproveitar esta oportunidade para beneficiar o setor espacial brasileiro com conhecimentos e tecnologias, que deveriam ser garantidos durante o processo de aquisição dos sistemas.</w:t>
      </w:r>
    </w:p>
    <w:p w14:paraId="5DE1F1BE" w14:textId="77777777" w:rsidR="00AC65A7" w:rsidRDefault="00AC65A7" w:rsidP="00AC65A7">
      <w:pPr>
        <w:ind w:left="-567"/>
        <w:jc w:val="both"/>
      </w:pPr>
    </w:p>
    <w:p w14:paraId="4003F5E4" w14:textId="77777777" w:rsidR="00AC65A7" w:rsidRPr="00AC65A7" w:rsidRDefault="00AC65A7" w:rsidP="00AC65A7">
      <w:pPr>
        <w:ind w:left="-567"/>
        <w:jc w:val="both"/>
      </w:pPr>
      <w:r w:rsidRPr="00AC65A7">
        <w:t>A AEB, então, foi incluída</w:t>
      </w:r>
      <w:r w:rsidRPr="00AC65A7">
        <w:rPr>
          <w:vertAlign w:val="superscript"/>
        </w:rPr>
        <w:t xml:space="preserve"> </w:t>
      </w:r>
      <w:r w:rsidRPr="00AC65A7">
        <w:t xml:space="preserve">na gestão do planejamento, da construção e do lançamento do SGDC, e está empenhada nas ações do Plano de Absorção e Transferência de Tecnologia, com isto preparando a nossa base industrial e as nossas instituições para um comprometimento progressivo e efetivo nas próximas missões. </w:t>
      </w:r>
    </w:p>
    <w:p w14:paraId="72FD0CEF" w14:textId="77777777" w:rsidR="00AC65A7" w:rsidRDefault="00AC65A7" w:rsidP="00AC65A7">
      <w:pPr>
        <w:ind w:left="-567"/>
        <w:jc w:val="both"/>
      </w:pPr>
    </w:p>
    <w:p w14:paraId="70E6163F" w14:textId="77777777" w:rsidR="00AC65A7" w:rsidRPr="00AC65A7" w:rsidRDefault="00AC65A7" w:rsidP="00AC65A7">
      <w:pPr>
        <w:ind w:left="-567"/>
        <w:jc w:val="both"/>
      </w:pPr>
      <w:r w:rsidRPr="00AC65A7">
        <w:t>Eis então que daí surge, também, outra oportunidade, e a tão necessária e almejada Empresa Integradora, Contratante Principal é criada, em uma articulação entre a Telebras e a Embraer atendendo ao princípio que para nós inspira muito sucesso – a Parceria Público Privada (PPP).</w:t>
      </w:r>
    </w:p>
    <w:p w14:paraId="45F05E9B" w14:textId="77777777" w:rsidR="00AC65A7" w:rsidRDefault="00AC65A7" w:rsidP="00AC65A7">
      <w:pPr>
        <w:ind w:left="-567"/>
        <w:jc w:val="both"/>
      </w:pPr>
    </w:p>
    <w:p w14:paraId="316A338E" w14:textId="77777777" w:rsidR="00AC65A7" w:rsidRPr="00AC65A7" w:rsidRDefault="00AC65A7" w:rsidP="00AC65A7">
      <w:pPr>
        <w:ind w:left="-567"/>
        <w:jc w:val="both"/>
      </w:pPr>
      <w:r w:rsidRPr="00AC65A7">
        <w:t>Cumprido o pressuposto dos primórdios do programa, cabe a nós, agora, promover e estimular a capacitação e a qualificação do conceito, em benefício da consolidação de nossa Base Industrial, para que a mesma possa exercer um papel preponderante também no cenário competitivo mundial.</w:t>
      </w:r>
    </w:p>
    <w:p w14:paraId="5248A0DB" w14:textId="77777777" w:rsidR="00AC65A7" w:rsidRDefault="00AC65A7" w:rsidP="00AC65A7">
      <w:pPr>
        <w:ind w:left="-567"/>
        <w:jc w:val="both"/>
      </w:pPr>
    </w:p>
    <w:p w14:paraId="474FDC55" w14:textId="77777777" w:rsidR="00AC65A7" w:rsidRPr="00AC65A7" w:rsidRDefault="00AC65A7" w:rsidP="00AC65A7">
      <w:pPr>
        <w:ind w:left="-567"/>
        <w:jc w:val="both"/>
      </w:pPr>
      <w:r w:rsidRPr="00AC65A7">
        <w:t xml:space="preserve">A iniciativa adotada para o desenvolvimento do SGDC, principalmente naquilo que diz respeito aos esforços coletivos e investimentos de distintas fontes, apresenta-se bem adequada aos desafios que temos pela frente. </w:t>
      </w:r>
    </w:p>
    <w:p w14:paraId="5DC47C7F" w14:textId="77777777" w:rsidR="00AC65A7" w:rsidRDefault="00AC65A7" w:rsidP="00AC65A7">
      <w:pPr>
        <w:ind w:left="-567"/>
        <w:jc w:val="both"/>
      </w:pPr>
    </w:p>
    <w:p w14:paraId="55E90940" w14:textId="77777777" w:rsidR="00AC65A7" w:rsidRPr="00AC65A7" w:rsidRDefault="00AC65A7" w:rsidP="00AC65A7">
      <w:pPr>
        <w:ind w:left="-567"/>
        <w:jc w:val="both"/>
      </w:pPr>
      <w:r w:rsidRPr="00AC65A7">
        <w:t xml:space="preserve">O desenvolvimento de soluções próprias e adequadas para o Sistema Nacional de Informações sobre Recursos Hídricos, para a adequada disponibilização de dados meteorológicos, e para a observação especializada de nossos recursos hídricos, assim como de nossas fronteiras oceânicas, são também parte de nossa agenda estratégica decenal. </w:t>
      </w:r>
    </w:p>
    <w:p w14:paraId="6814B26A" w14:textId="77777777" w:rsidR="00AC65A7" w:rsidRDefault="00AC65A7" w:rsidP="00AC65A7">
      <w:pPr>
        <w:ind w:left="-567"/>
        <w:jc w:val="both"/>
      </w:pPr>
    </w:p>
    <w:p w14:paraId="7D0D885C" w14:textId="77777777" w:rsidR="00AC65A7" w:rsidRPr="00AC65A7" w:rsidRDefault="00AC65A7" w:rsidP="00AC65A7">
      <w:pPr>
        <w:ind w:left="-567"/>
        <w:jc w:val="both"/>
      </w:pPr>
      <w:r w:rsidRPr="00AC65A7">
        <w:t>A solução de questões com esse nível de complexidade exige estratégias de envolvimentos coletivos que vão muito além de nossos limites regulares, principalmente porque tratamos de objetos com interesses múltiplos de vários segmentos da nação.</w:t>
      </w:r>
    </w:p>
    <w:p w14:paraId="0B353B4B" w14:textId="77777777" w:rsidR="00AC65A7" w:rsidRDefault="00AC65A7" w:rsidP="00AC65A7">
      <w:pPr>
        <w:ind w:left="-567"/>
        <w:jc w:val="both"/>
      </w:pPr>
    </w:p>
    <w:p w14:paraId="1430681E" w14:textId="77777777" w:rsidR="00AC65A7" w:rsidRPr="00AC65A7" w:rsidRDefault="00AC65A7" w:rsidP="00AC65A7">
      <w:pPr>
        <w:ind w:left="-567"/>
        <w:jc w:val="both"/>
      </w:pPr>
      <w:r w:rsidRPr="00AC65A7">
        <w:t xml:space="preserve">Para o primeiro caso, contamos com a participação efetiva da Agência Nacional de Águas (ANA) que, no âmbito do Sistema Nacional de Gestão Integrada dos Recursos Hídricos, é a responsável pelo Sistema. Alternativas foram e continuam sendo analisadas e uma das mais promissoras é a oportunidade compartilhada com a ESA de que o Brasil torne-se um dos membros do Sistema ARGOS, assim como fizera a Índia recentemente. </w:t>
      </w:r>
    </w:p>
    <w:p w14:paraId="2016FF66" w14:textId="77777777" w:rsidR="00AC65A7" w:rsidRDefault="00AC65A7" w:rsidP="00AC65A7">
      <w:pPr>
        <w:ind w:left="-567"/>
        <w:jc w:val="both"/>
      </w:pPr>
    </w:p>
    <w:p w14:paraId="2D509DE2" w14:textId="77777777" w:rsidR="00AC65A7" w:rsidRPr="00AC65A7" w:rsidRDefault="00AC65A7" w:rsidP="00AC65A7">
      <w:pPr>
        <w:ind w:left="-567"/>
        <w:jc w:val="both"/>
      </w:pPr>
      <w:r w:rsidRPr="00AC65A7">
        <w:t>Nesse contexto está previsto que acrescentemos ao sistema, pequenos satélites, em órbitas mais adequadas à nossa posição geográfica, criando assim mais uma janela para a participação da indústria espacial nacional.  </w:t>
      </w:r>
    </w:p>
    <w:p w14:paraId="08C5B8ED" w14:textId="77777777" w:rsidR="00AC65A7" w:rsidRDefault="00AC65A7" w:rsidP="00AC65A7">
      <w:pPr>
        <w:ind w:left="-567"/>
        <w:jc w:val="both"/>
      </w:pPr>
    </w:p>
    <w:p w14:paraId="24541D10" w14:textId="77777777" w:rsidR="00AC65A7" w:rsidRPr="00AC65A7" w:rsidRDefault="00AC65A7" w:rsidP="00AC65A7">
      <w:pPr>
        <w:ind w:left="-567"/>
        <w:jc w:val="both"/>
      </w:pPr>
      <w:r w:rsidRPr="00AC65A7">
        <w:t xml:space="preserve">No caso da meteorologia, há muito se discute a necessidade premente de uma solução própria para essa matéria. As condições de tempo e clima afetam atividades que vão desde a trivial secagem de roupas, até complicados procedimentos para lançamento de naves espaciais tripuladas. </w:t>
      </w:r>
    </w:p>
    <w:p w14:paraId="49EBB4CC" w14:textId="77777777" w:rsidR="00AC65A7" w:rsidRDefault="00AC65A7" w:rsidP="00AC65A7">
      <w:pPr>
        <w:ind w:left="-567"/>
        <w:jc w:val="both"/>
      </w:pPr>
    </w:p>
    <w:p w14:paraId="7283C29C" w14:textId="77777777" w:rsidR="00AC65A7" w:rsidRPr="00AC65A7" w:rsidRDefault="00AC65A7" w:rsidP="00AC65A7">
      <w:pPr>
        <w:ind w:left="-567"/>
        <w:jc w:val="both"/>
      </w:pPr>
      <w:r w:rsidRPr="00AC65A7">
        <w:t xml:space="preserve">Um fato relevante a considerar é a degradação da disponibilidade dos dados coletados por satélites operacionais estrangeiros, de órbita geoestacionária, que cobrem parcial ou totalmente o território brasileiro. </w:t>
      </w:r>
    </w:p>
    <w:p w14:paraId="43CDC5F8" w14:textId="77777777" w:rsidR="00AC65A7" w:rsidRDefault="00AC65A7" w:rsidP="00AC65A7">
      <w:pPr>
        <w:ind w:left="-567"/>
        <w:jc w:val="both"/>
      </w:pPr>
    </w:p>
    <w:p w14:paraId="48309921" w14:textId="77777777" w:rsidR="00AC65A7" w:rsidRPr="00AC65A7" w:rsidRDefault="00AC65A7" w:rsidP="00AC65A7">
      <w:pPr>
        <w:ind w:left="-567"/>
        <w:jc w:val="both"/>
      </w:pPr>
      <w:r w:rsidRPr="00AC65A7">
        <w:t>A alta frequência temporal de observação é essencial em alguns fenômenos e eventos que demandam monitoramento contínuo, face a rápida variabilidade de suas características, que por sua vez se relacionam diretamente com seu poder de destruição.</w:t>
      </w:r>
    </w:p>
    <w:p w14:paraId="0B6F5F42" w14:textId="77777777" w:rsidR="00AC65A7" w:rsidRDefault="00AC65A7" w:rsidP="00AC65A7">
      <w:pPr>
        <w:ind w:left="-567"/>
        <w:jc w:val="both"/>
      </w:pPr>
    </w:p>
    <w:p w14:paraId="4AA61967" w14:textId="77777777" w:rsidR="00AC65A7" w:rsidRPr="00AC65A7" w:rsidRDefault="00AC65A7" w:rsidP="00AC65A7">
      <w:pPr>
        <w:ind w:left="-567"/>
        <w:jc w:val="both"/>
      </w:pPr>
      <w:r w:rsidRPr="00AC65A7">
        <w:t>Uma das opções que está sendo analisada atualmente é a possibilidade de equipar o próximo satélite geoestacionário brasileiro (SGDC) com dispositivos voltados à área de meteorologia.</w:t>
      </w:r>
    </w:p>
    <w:p w14:paraId="6129679F" w14:textId="77777777" w:rsidR="00AC65A7" w:rsidRDefault="00AC65A7" w:rsidP="00AC65A7">
      <w:pPr>
        <w:ind w:left="-567"/>
        <w:jc w:val="both"/>
      </w:pPr>
    </w:p>
    <w:p w14:paraId="0C792B7C" w14:textId="77777777" w:rsidR="00AC65A7" w:rsidRPr="00AC65A7" w:rsidRDefault="00AC65A7" w:rsidP="00AC65A7">
      <w:pPr>
        <w:ind w:left="-567"/>
        <w:jc w:val="both"/>
      </w:pPr>
      <w:r w:rsidRPr="00AC65A7">
        <w:t>Isto resolveria a dependência de dados com a frequência necessária, agregaria mais valores à iniciativa, assim como, aumentaria o número de investidores, ao empreendimento em tela.</w:t>
      </w:r>
    </w:p>
    <w:p w14:paraId="1F85FD08" w14:textId="77777777" w:rsidR="00AC65A7" w:rsidRDefault="00AC65A7" w:rsidP="00AC65A7">
      <w:pPr>
        <w:ind w:left="-567"/>
        <w:jc w:val="both"/>
      </w:pPr>
    </w:p>
    <w:p w14:paraId="7248CC3B" w14:textId="77777777" w:rsidR="00AC65A7" w:rsidRPr="00AC65A7" w:rsidRDefault="00AC65A7" w:rsidP="00AC65A7">
      <w:pPr>
        <w:ind w:left="-567"/>
        <w:jc w:val="both"/>
      </w:pPr>
      <w:r w:rsidRPr="00AC65A7">
        <w:t xml:space="preserve">Os princípios que deram origem e proporcionaram o sucesso de nossa cooperação com a China, estão também sendo aplicados ao terceiro caso, relacionado à observação e monitoramento de nossas bacias hidrográficas e fronteiras oceânicas. </w:t>
      </w:r>
    </w:p>
    <w:p w14:paraId="6DCFF9B4" w14:textId="77777777" w:rsidR="00AC65A7" w:rsidRDefault="00AC65A7" w:rsidP="00AC65A7">
      <w:pPr>
        <w:ind w:left="-567"/>
        <w:jc w:val="both"/>
      </w:pPr>
    </w:p>
    <w:p w14:paraId="5EAB5B69" w14:textId="77777777" w:rsidR="00AC65A7" w:rsidRPr="00AC65A7" w:rsidRDefault="00AC65A7" w:rsidP="00AC65A7">
      <w:pPr>
        <w:ind w:left="-567"/>
        <w:jc w:val="both"/>
      </w:pPr>
      <w:r w:rsidRPr="00AC65A7">
        <w:t xml:space="preserve">Há muito temos participado de discussões sobre a possibilidade de construirmos uma parceria com os nossos vizinhos Argentinos para o enfrentamento dessa questão. </w:t>
      </w:r>
    </w:p>
    <w:p w14:paraId="6EDEB012" w14:textId="77777777" w:rsidR="00AC65A7" w:rsidRDefault="00AC65A7" w:rsidP="00AC65A7">
      <w:pPr>
        <w:ind w:left="-567"/>
        <w:jc w:val="both"/>
      </w:pPr>
    </w:p>
    <w:p w14:paraId="70159613" w14:textId="77777777" w:rsidR="00AC65A7" w:rsidRPr="00AC65A7" w:rsidRDefault="00AC65A7" w:rsidP="00AC65A7">
      <w:pPr>
        <w:ind w:left="-567"/>
        <w:jc w:val="both"/>
      </w:pPr>
      <w:r w:rsidRPr="00AC65A7">
        <w:t>Depois de algum tempo, em 2009, os presidentes do Brasil e da Argentina, reuniram-se para tratar da cooperação bilateral entre os países em diversas áreas de interesse comum, dentre elas a espacial, momento em que redefiniram e reconfirmaram o interesse em desenvolver uma missão conjunta de observação de recursos hídricos, denominada SABIA-Mar.</w:t>
      </w:r>
    </w:p>
    <w:p w14:paraId="072B5AB4" w14:textId="77777777" w:rsidR="00AC65A7" w:rsidRDefault="00AC65A7" w:rsidP="00AC65A7">
      <w:pPr>
        <w:ind w:left="-567"/>
        <w:jc w:val="both"/>
      </w:pPr>
    </w:p>
    <w:p w14:paraId="2543725A" w14:textId="77777777" w:rsidR="00AC65A7" w:rsidRPr="00AC65A7" w:rsidRDefault="00AC65A7" w:rsidP="00AC65A7">
      <w:pPr>
        <w:ind w:left="-567"/>
        <w:jc w:val="both"/>
      </w:pPr>
      <w:r w:rsidRPr="00AC65A7">
        <w:t xml:space="preserve">Em dezembro de 2012 criamos um grupo de trabalho brasileiro, constituído por profissionais da AEB, do INPE, consultores e representantes da indústria espacial brasileira, para realizar a Fase A da missão SABIA-Mar, juntamente com representantes da Comissão Nacional de Atividades Espaciais (CONAE), da República Argentina. Este trabalho já está concluído. </w:t>
      </w:r>
    </w:p>
    <w:p w14:paraId="27869AB3" w14:textId="77777777" w:rsidR="00AC65A7" w:rsidRDefault="00AC65A7" w:rsidP="00AC65A7">
      <w:pPr>
        <w:ind w:left="-567"/>
        <w:jc w:val="both"/>
      </w:pPr>
    </w:p>
    <w:p w14:paraId="71E97AC0" w14:textId="77777777" w:rsidR="00AC65A7" w:rsidRPr="00AC65A7" w:rsidRDefault="00AC65A7" w:rsidP="00AC65A7">
      <w:pPr>
        <w:ind w:left="-567"/>
        <w:jc w:val="both"/>
      </w:pPr>
      <w:r w:rsidRPr="00AC65A7">
        <w:t>Dentre as diretrizes do projeto, destacam-se: as atividades serão realizadas com base em interesses e benefícios mútuos, no desenvolvimento conjunto, bem como no estabelecimento de responsabilidades bem definidas; cada Parte arcará com suas próprias despesas em função das responsabilidades assumidas, sendo que as responsabilidades deverão ser estabelecidas de tal forma que os custos sejam igualmente divididos entre elas.</w:t>
      </w:r>
    </w:p>
    <w:p w14:paraId="2516FAA8" w14:textId="77777777" w:rsidR="00AC65A7" w:rsidRDefault="00AC65A7" w:rsidP="00AC65A7">
      <w:pPr>
        <w:ind w:left="-567"/>
        <w:jc w:val="both"/>
      </w:pPr>
    </w:p>
    <w:p w14:paraId="7D9ACFE0" w14:textId="77777777" w:rsidR="00AC65A7" w:rsidRPr="00AC65A7" w:rsidRDefault="00AC65A7" w:rsidP="00AC65A7">
      <w:pPr>
        <w:ind w:left="-567"/>
        <w:jc w:val="both"/>
      </w:pPr>
      <w:r w:rsidRPr="00AC65A7">
        <w:t xml:space="preserve">Abre-se com isto mais uma oportunidade para a utilização da plataforma multimissão (PMM), objeto de grande relevância de nossa agenda PNAE. </w:t>
      </w:r>
    </w:p>
    <w:p w14:paraId="370D751F" w14:textId="77777777" w:rsidR="009E2233" w:rsidRDefault="009E2233" w:rsidP="00AC65A7">
      <w:pPr>
        <w:ind w:left="-567"/>
        <w:jc w:val="both"/>
      </w:pPr>
    </w:p>
    <w:p w14:paraId="3725C434" w14:textId="77777777" w:rsidR="00AC65A7" w:rsidRPr="00AC65A7" w:rsidRDefault="00AC65A7" w:rsidP="00AC65A7">
      <w:pPr>
        <w:ind w:left="-567"/>
        <w:jc w:val="both"/>
      </w:pPr>
      <w:r w:rsidRPr="00AC65A7">
        <w:t xml:space="preserve">A Plataforma Multimissão (PMM) é um conceito moderno em relação à arquitetura de satélites. O propósito é reunir em um módulo todos os equipamentos que desempenham funções necessárias à sobrevivência de um satélite, independentemente do tipo de órbita e objetivo da missão. </w:t>
      </w:r>
    </w:p>
    <w:p w14:paraId="3EE4D43C" w14:textId="77777777" w:rsidR="00AC65A7" w:rsidRDefault="00AC65A7" w:rsidP="00AC65A7">
      <w:pPr>
        <w:ind w:left="-567"/>
        <w:jc w:val="both"/>
      </w:pPr>
    </w:p>
    <w:p w14:paraId="6BAED75D" w14:textId="77777777" w:rsidR="00AC65A7" w:rsidRPr="00AC65A7" w:rsidRDefault="00AC65A7" w:rsidP="00AC65A7">
      <w:pPr>
        <w:ind w:left="-567"/>
        <w:jc w:val="both"/>
      </w:pPr>
      <w:r w:rsidRPr="00AC65A7">
        <w:t>A PMM é uma plataforma genérica para satélites na classe de 500 kg. Com massa de 250 kg, ela provê os recursos necessários, em termos de potência, controle, comunicação e outros, para operar, em órbita, uma carga útil de até 280 kg.</w:t>
      </w:r>
    </w:p>
    <w:p w14:paraId="2D88F542" w14:textId="77777777" w:rsidR="00AC65A7" w:rsidRPr="00AC65A7" w:rsidRDefault="00AC65A7" w:rsidP="00AC65A7">
      <w:pPr>
        <w:ind w:left="-567"/>
        <w:jc w:val="both"/>
      </w:pPr>
      <w:r w:rsidRPr="00AC65A7">
        <w:t>A primeira aplicação do conceito PMM está comprometida com o projeto Amazonia-1, satélite que irá gerar imagens do planeta a cada 4 dias.</w:t>
      </w:r>
    </w:p>
    <w:p w14:paraId="7A35C328" w14:textId="77777777" w:rsidR="00AC65A7" w:rsidRDefault="00AC65A7" w:rsidP="00AC65A7">
      <w:pPr>
        <w:ind w:left="-567"/>
        <w:jc w:val="both"/>
      </w:pPr>
    </w:p>
    <w:p w14:paraId="7B8CE218" w14:textId="77777777" w:rsidR="00AC65A7" w:rsidRPr="00AC65A7" w:rsidRDefault="00AC65A7" w:rsidP="00AC65A7">
      <w:pPr>
        <w:ind w:left="-567"/>
        <w:jc w:val="both"/>
      </w:pPr>
      <w:r w:rsidRPr="00AC65A7">
        <w:t>Sua característica de revisita rápida permitirá a melhora nos dados de alerta de desmatamento na Amazônia em tempo real, ao maximizar a aquisição de imagens úteis diante da cobertura de nuvens na região. O Amazonia-1 também fornecerá imagens frequentes para várias outras aplicações de interesses nacionais.</w:t>
      </w:r>
    </w:p>
    <w:p w14:paraId="66CAA9A1" w14:textId="77777777" w:rsidR="00AC65A7" w:rsidRDefault="00AC65A7" w:rsidP="00AC65A7">
      <w:pPr>
        <w:ind w:left="-567"/>
        <w:jc w:val="both"/>
      </w:pPr>
    </w:p>
    <w:p w14:paraId="07DA6985" w14:textId="77777777" w:rsidR="00AC65A7" w:rsidRPr="00AC65A7" w:rsidRDefault="00AC65A7" w:rsidP="00AC65A7">
      <w:pPr>
        <w:ind w:left="-567"/>
        <w:jc w:val="both"/>
      </w:pPr>
      <w:r w:rsidRPr="00AC65A7">
        <w:t>No que diz respeito à infraestrutura geral de nosso Centro de Lançamentos de Alcântara (CLA) queremos registrar o grande avanço implementado nesses últimos anos. O Centro está preparado para promover todas as atividades preconizadas no PNAE.</w:t>
      </w:r>
    </w:p>
    <w:p w14:paraId="610ED999" w14:textId="77777777" w:rsidR="00AC65A7" w:rsidRPr="00AC65A7" w:rsidRDefault="00AC65A7" w:rsidP="00AC65A7">
      <w:pPr>
        <w:ind w:left="-567"/>
        <w:jc w:val="both"/>
      </w:pPr>
      <w:r w:rsidRPr="00AC65A7">
        <w:t> </w:t>
      </w:r>
    </w:p>
    <w:p w14:paraId="11BEAAF6" w14:textId="77777777" w:rsidR="00AC65A7" w:rsidRPr="00AC65A7" w:rsidRDefault="00AC65A7" w:rsidP="00AC65A7">
      <w:pPr>
        <w:ind w:left="-567"/>
        <w:jc w:val="both"/>
      </w:pPr>
      <w:r w:rsidRPr="00AC65A7">
        <w:t xml:space="preserve">No estágio em que nos encontramos hoje, com relação à conquista dos meios de acesso ao espaço, consideramos que o VLS tenha sido um projeto de validação de tecnologias críticas e capacitação de recursos humanos. </w:t>
      </w:r>
    </w:p>
    <w:p w14:paraId="5AB153D1" w14:textId="77777777" w:rsidR="00AC65A7" w:rsidRPr="00AC65A7" w:rsidRDefault="00AC65A7" w:rsidP="00AC65A7">
      <w:pPr>
        <w:ind w:left="-567"/>
        <w:jc w:val="both"/>
      </w:pPr>
      <w:r w:rsidRPr="00AC65A7">
        <w:t> </w:t>
      </w:r>
    </w:p>
    <w:p w14:paraId="5FE95875" w14:textId="77777777" w:rsidR="00AC65A7" w:rsidRPr="00AC65A7" w:rsidRDefault="00AC65A7" w:rsidP="00AC65A7">
      <w:pPr>
        <w:ind w:left="-567"/>
        <w:jc w:val="both"/>
      </w:pPr>
      <w:r w:rsidRPr="00AC65A7">
        <w:t>A maior prioridade na área de Lançadores destina-se hoje ao VLM – um Veículo Lançador de Microssatélites. Trata-se de projeto em parceria com a Agência Espacial Alemã (DLR) e participação efetiva da indústria espacial nacional, em um processo de resultados absolutamente convergentes.</w:t>
      </w:r>
    </w:p>
    <w:p w14:paraId="15F3710D" w14:textId="77777777" w:rsidR="00AC65A7" w:rsidRPr="00AC65A7" w:rsidRDefault="00AC65A7" w:rsidP="00AC65A7">
      <w:pPr>
        <w:ind w:left="-567"/>
        <w:jc w:val="both"/>
      </w:pPr>
      <w:r w:rsidRPr="00AC65A7">
        <w:t> </w:t>
      </w:r>
    </w:p>
    <w:p w14:paraId="3744AC75" w14:textId="77777777" w:rsidR="00AC65A7" w:rsidRPr="00AC65A7" w:rsidRDefault="00AC65A7" w:rsidP="00AC65A7">
      <w:pPr>
        <w:ind w:left="-567"/>
        <w:jc w:val="both"/>
      </w:pPr>
      <w:r w:rsidRPr="00AC65A7">
        <w:t>Ao longo do desenvolvimento do VLM-1 já conseguimos contabilizar alguns avanços importantes, tais como, o desenvolvimento estrutural do envelope do motor S-50, do novo propelente para o carregamento do motor, assim como na eletrônica de bordo. </w:t>
      </w:r>
    </w:p>
    <w:p w14:paraId="6098C8D6" w14:textId="77777777" w:rsidR="00AC65A7" w:rsidRPr="00AC65A7" w:rsidRDefault="00AC65A7" w:rsidP="00AC65A7">
      <w:pPr>
        <w:ind w:left="-567"/>
        <w:jc w:val="both"/>
      </w:pPr>
      <w:r w:rsidRPr="00AC65A7">
        <w:t>A nova agenda prevê a realização de seu primeiro voo com cargas úteis espaciais ou microssatélites em 2018, a partir do CLA.</w:t>
      </w:r>
    </w:p>
    <w:p w14:paraId="605DACC1" w14:textId="77777777" w:rsidR="00AC65A7" w:rsidRPr="00AC65A7" w:rsidRDefault="00AC65A7" w:rsidP="00AC65A7">
      <w:pPr>
        <w:ind w:left="-567"/>
        <w:jc w:val="both"/>
      </w:pPr>
      <w:r w:rsidRPr="00AC65A7">
        <w:t> </w:t>
      </w:r>
    </w:p>
    <w:p w14:paraId="04B9615A" w14:textId="77777777" w:rsidR="00AC65A7" w:rsidRPr="00AC65A7" w:rsidRDefault="00AC65A7" w:rsidP="00AC65A7">
      <w:pPr>
        <w:ind w:left="-567"/>
        <w:jc w:val="both"/>
      </w:pPr>
      <w:r w:rsidRPr="00AC65A7">
        <w:t>A parceria entre os Governos do Brasil e da Ucrânia, definida por tratado assinado em 2003, cujo objetivo era promover lançamentos, por meio do vetor ucraniano Cyclone-4, a partir de um sítio específico instalado no CLA, enfrentou sérias dificuldades tendo sido finalmente denunciada, em julho de 2015, após análises realizadas por uma Comissão constituída pelos Ministérios de Ciência, Tecnologia e Inovação (MCTI), Ministério da Defesa (MD) e Ministério das Relações Exteriores (MRE), do Brasil.</w:t>
      </w:r>
    </w:p>
    <w:p w14:paraId="56D86920" w14:textId="77777777" w:rsidR="00AC65A7" w:rsidRDefault="00AC65A7" w:rsidP="00AC65A7">
      <w:pPr>
        <w:ind w:left="-567"/>
        <w:jc w:val="both"/>
      </w:pPr>
    </w:p>
    <w:p w14:paraId="4745C9A4" w14:textId="77777777" w:rsidR="00AC65A7" w:rsidRPr="00AC65A7" w:rsidRDefault="00AC65A7" w:rsidP="00AC65A7">
      <w:pPr>
        <w:ind w:left="-567"/>
        <w:jc w:val="both"/>
      </w:pPr>
      <w:r w:rsidRPr="00AC65A7">
        <w:t xml:space="preserve">No esforço de capacitação de recursos humanos, objetivo nobre do programa espacial brasileiro para garantir a eficiência necessária ao PEB, temos direcionado ações para o desenvolvimento de competências com a participação efetiva de especialistas em projetos estruturantes e mobilizadores em diversos níveis de complexidade. </w:t>
      </w:r>
    </w:p>
    <w:p w14:paraId="5B556A53" w14:textId="77777777" w:rsidR="00AC65A7" w:rsidRPr="00AC65A7" w:rsidRDefault="00AC65A7" w:rsidP="00AC65A7">
      <w:pPr>
        <w:ind w:left="-567"/>
        <w:jc w:val="both"/>
      </w:pPr>
      <w:r w:rsidRPr="00AC65A7">
        <w:t> </w:t>
      </w:r>
    </w:p>
    <w:p w14:paraId="76DCD282" w14:textId="77777777" w:rsidR="00AC65A7" w:rsidRPr="00AC65A7" w:rsidRDefault="00AC65A7" w:rsidP="00AC65A7">
      <w:pPr>
        <w:ind w:left="-567"/>
        <w:jc w:val="both"/>
      </w:pPr>
      <w:r w:rsidRPr="00AC65A7">
        <w:t>Em 2015 estruturamos a plataforma E2T, Espaço, Educação e Tecnologia, com destaque aos seguintes resultados:</w:t>
      </w:r>
    </w:p>
    <w:p w14:paraId="1084B5B2" w14:textId="77777777" w:rsidR="00AC65A7" w:rsidRPr="00AC65A7" w:rsidRDefault="00AC65A7" w:rsidP="00AC65A7">
      <w:pPr>
        <w:ind w:left="-567"/>
        <w:jc w:val="both"/>
      </w:pPr>
      <w:r w:rsidRPr="00AC65A7">
        <w:t>Capacitação de 176 especialistas em diversas missões e de 712 professores em temas da área espacial;</w:t>
      </w:r>
    </w:p>
    <w:p w14:paraId="4E3B39DE" w14:textId="77777777" w:rsidR="00AC65A7" w:rsidRPr="00AC65A7" w:rsidRDefault="00AC65A7" w:rsidP="00AC65A7">
      <w:pPr>
        <w:ind w:left="-567"/>
        <w:jc w:val="both"/>
      </w:pPr>
      <w:r w:rsidRPr="00AC65A7">
        <w:t xml:space="preserve"> </w:t>
      </w:r>
    </w:p>
    <w:p w14:paraId="5127C912" w14:textId="77777777" w:rsidR="00AC65A7" w:rsidRPr="00AC65A7" w:rsidRDefault="00AC65A7" w:rsidP="00AC65A7">
      <w:pPr>
        <w:ind w:left="-567"/>
        <w:jc w:val="both"/>
      </w:pPr>
      <w:r w:rsidRPr="00AC65A7">
        <w:t>Lançamento de três nano satélites entre 2014 e 2015;</w:t>
      </w:r>
    </w:p>
    <w:p w14:paraId="7E59A60E" w14:textId="77777777" w:rsidR="00AC65A7" w:rsidRPr="00AC65A7" w:rsidRDefault="00AC65A7" w:rsidP="00AC65A7">
      <w:pPr>
        <w:ind w:left="-567"/>
        <w:jc w:val="both"/>
      </w:pPr>
      <w:r w:rsidRPr="00AC65A7">
        <w:t xml:space="preserve">Previsão de lançamentos em 2016 do ITASAT e do </w:t>
      </w:r>
      <w:proofErr w:type="spellStart"/>
      <w:r w:rsidRPr="00AC65A7">
        <w:t>UbatubaSat</w:t>
      </w:r>
      <w:proofErr w:type="spellEnd"/>
      <w:r w:rsidRPr="00AC65A7">
        <w:t>;</w:t>
      </w:r>
    </w:p>
    <w:p w14:paraId="50446437" w14:textId="77777777" w:rsidR="00AC65A7" w:rsidRPr="00AC65A7" w:rsidRDefault="00AC65A7" w:rsidP="00AC65A7">
      <w:pPr>
        <w:ind w:left="-567"/>
        <w:jc w:val="both"/>
      </w:pPr>
      <w:r w:rsidRPr="00AC65A7">
        <w:t>Implementação de 225 bolsas, no âmbito do Ciência sem Fronteiras, na área espacial, mais 5 direcionadas a Laboratórios da NASA e mais 6 para cursos de pós – graduação na Universidade de Beihang, na China;</w:t>
      </w:r>
    </w:p>
    <w:p w14:paraId="6AC57901" w14:textId="77777777" w:rsidR="00AC65A7" w:rsidRPr="00AC65A7" w:rsidRDefault="00AC65A7" w:rsidP="00AC65A7">
      <w:pPr>
        <w:ind w:left="-567"/>
        <w:jc w:val="both"/>
      </w:pPr>
      <w:r w:rsidRPr="00AC65A7">
        <w:t>E finalmente, a implementação do primeiro Centro Vocacional Tecnológico Espacial, a ser inaugurado ainda neste semestre, no CLBI, em Natal.</w:t>
      </w:r>
    </w:p>
    <w:p w14:paraId="34C01233" w14:textId="77777777" w:rsidR="00AC65A7" w:rsidRPr="00AC65A7" w:rsidRDefault="00AC65A7" w:rsidP="00AC65A7">
      <w:pPr>
        <w:ind w:left="-567"/>
        <w:jc w:val="both"/>
      </w:pPr>
      <w:r w:rsidRPr="00AC65A7">
        <w:t> </w:t>
      </w:r>
    </w:p>
    <w:p w14:paraId="47870BAA" w14:textId="77777777" w:rsidR="00AC65A7" w:rsidRPr="00AC65A7" w:rsidRDefault="00AC65A7" w:rsidP="00AC65A7">
      <w:pPr>
        <w:ind w:left="-567"/>
        <w:jc w:val="both"/>
      </w:pPr>
      <w:r w:rsidRPr="00AC65A7">
        <w:t xml:space="preserve">Em relação ao fortalecimento da capacidade institucional da AEB, registre-se, que após vinte anos de existência, conseguimos, em 2014, realizar o primeiro concurso público, para a contratação dos primeiros 66 servidores a integrarem o quadro permanente de recursos humanos da Agência. </w:t>
      </w:r>
    </w:p>
    <w:p w14:paraId="22D74A22" w14:textId="77777777" w:rsidR="00AC65A7" w:rsidRDefault="00AC65A7" w:rsidP="00AC65A7">
      <w:pPr>
        <w:ind w:left="-567"/>
        <w:jc w:val="both"/>
      </w:pPr>
    </w:p>
    <w:p w14:paraId="3843B7DE" w14:textId="77777777" w:rsidR="00AC65A7" w:rsidRPr="00AC65A7" w:rsidRDefault="00AC65A7" w:rsidP="00AC65A7">
      <w:pPr>
        <w:ind w:left="-567"/>
        <w:jc w:val="both"/>
      </w:pPr>
      <w:r w:rsidRPr="00AC65A7">
        <w:t>Infelizmente, mesmo tendo sido homologado em meados de 2015, a efetivação dos aprovados ainda não pode ser concretizada, como desejado.</w:t>
      </w:r>
    </w:p>
    <w:p w14:paraId="18F19E5C" w14:textId="77777777" w:rsidR="00AC65A7" w:rsidRDefault="00AC65A7" w:rsidP="00AC65A7">
      <w:pPr>
        <w:ind w:left="-567"/>
        <w:jc w:val="both"/>
      </w:pPr>
    </w:p>
    <w:p w14:paraId="0854F9AE" w14:textId="77777777" w:rsidR="00AC65A7" w:rsidRPr="00AC65A7" w:rsidRDefault="00AC65A7" w:rsidP="00AC65A7">
      <w:pPr>
        <w:ind w:left="-567"/>
        <w:jc w:val="both"/>
      </w:pPr>
      <w:r w:rsidRPr="00AC65A7">
        <w:t>E por fim, cabe ressaltar três desafios fundamentais, que se adequadamente superados, poderão certamente contribuir para reverter a percepção sobre os resultados efetivos do nosso programa espacial.</w:t>
      </w:r>
    </w:p>
    <w:p w14:paraId="3EFB3BE9" w14:textId="77777777" w:rsidR="00AC65A7" w:rsidRPr="00AC65A7" w:rsidRDefault="00AC65A7" w:rsidP="00AC65A7">
      <w:pPr>
        <w:ind w:left="-567"/>
        <w:jc w:val="both"/>
      </w:pPr>
      <w:r w:rsidRPr="00AC65A7">
        <w:t> </w:t>
      </w:r>
    </w:p>
    <w:p w14:paraId="47364039" w14:textId="77777777" w:rsidR="00AC65A7" w:rsidRPr="00AC65A7" w:rsidRDefault="00AC65A7" w:rsidP="00AC65A7">
      <w:pPr>
        <w:ind w:left="-567"/>
        <w:jc w:val="both"/>
      </w:pPr>
      <w:r w:rsidRPr="00AC65A7">
        <w:rPr>
          <w:b/>
          <w:bCs/>
        </w:rPr>
        <w:t>Primeiro</w:t>
      </w:r>
      <w:r w:rsidRPr="00AC65A7">
        <w:t>: é necessário reconhecer que o orçamento hoje destinado às atividades espaciais brasileiras é muito reduzido, tanto em termos absolutos, quanto em termos relativos, quando comparado ao de outras nações com economias de porte semelhante à nossa. Programas espaciais são exigentes por sua própria natureza, mas os benefícios auferidos não se comparam aos montantes  investidos.</w:t>
      </w:r>
    </w:p>
    <w:p w14:paraId="074A97BD" w14:textId="77777777" w:rsidR="00AC65A7" w:rsidRPr="00AC65A7" w:rsidRDefault="00AC65A7" w:rsidP="00AC65A7">
      <w:pPr>
        <w:ind w:left="-567"/>
        <w:jc w:val="both"/>
      </w:pPr>
      <w:r w:rsidRPr="00AC65A7">
        <w:t> </w:t>
      </w:r>
    </w:p>
    <w:p w14:paraId="53ABD6A5" w14:textId="77777777" w:rsidR="00AC65A7" w:rsidRPr="00AC65A7" w:rsidRDefault="00AC65A7" w:rsidP="00AC65A7">
      <w:pPr>
        <w:ind w:left="-567"/>
        <w:jc w:val="both"/>
      </w:pPr>
      <w:r w:rsidRPr="00AC65A7">
        <w:rPr>
          <w:b/>
          <w:bCs/>
        </w:rPr>
        <w:t>Segundo</w:t>
      </w:r>
      <w:r w:rsidRPr="00AC65A7">
        <w:t>: é necessário reconhecer que, a despeito dos esforços pelo aperfeiçoamento do marco legal que rege as atividades de pesquisas e desenvolvimento, as instituições públicas executoras dos projetos continuam sufocadas pela burocracia, pelas incertezas jurídicas, pelo temor dos administradores frente aos órgãos de controle, e principalmente, por um aparente e incontornável declínio em seus quadros de servidores técnicos e administrativos. O modelo que rege tais organizações precisa ser mudado, para que haja esperanças de uma reversão da realidade atual.</w:t>
      </w:r>
    </w:p>
    <w:p w14:paraId="02565F7F" w14:textId="77777777" w:rsidR="00AC65A7" w:rsidRPr="00AC65A7" w:rsidRDefault="00AC65A7" w:rsidP="00AC65A7">
      <w:pPr>
        <w:ind w:left="-567"/>
        <w:jc w:val="both"/>
      </w:pPr>
      <w:r w:rsidRPr="00AC65A7">
        <w:t> </w:t>
      </w:r>
    </w:p>
    <w:p w14:paraId="469A3FA9" w14:textId="77777777" w:rsidR="00AC65A7" w:rsidRDefault="00AC65A7" w:rsidP="00AC65A7">
      <w:pPr>
        <w:ind w:left="-567"/>
        <w:jc w:val="both"/>
      </w:pPr>
      <w:r w:rsidRPr="00AC65A7">
        <w:rPr>
          <w:b/>
          <w:bCs/>
        </w:rPr>
        <w:t>Terceiro</w:t>
      </w:r>
      <w:r w:rsidRPr="00AC65A7">
        <w:t xml:space="preserve">: é necessário reconhecer que programas de estado, via de regra, como os programas espaciais, sempre exigirão a presença e competência do estado, para formular os requisitos dos sistemas e missões, e contratar sua execução. A opção, tantas vezes exercida no passado, de fazer ele próprio, vem se mostrando cada vez menos eficaz. Torna-se fundamental que o Brasil entenda que não há alternativa fora da plena atribuição à indústria nacional da responsabilidade pelo desenvolvimento dos projetos em sua fase industrial. Ao estado não cabe mais fazer, mas deixar fazer, em seu próprio benefício. </w:t>
      </w:r>
    </w:p>
    <w:p w14:paraId="0AC8C1E1" w14:textId="77777777" w:rsidR="00D0012C" w:rsidRDefault="00D0012C" w:rsidP="00AC65A7">
      <w:pPr>
        <w:ind w:left="-567"/>
        <w:jc w:val="both"/>
      </w:pPr>
    </w:p>
    <w:p w14:paraId="52C28418" w14:textId="0B525EC5" w:rsidR="00D0012C" w:rsidRPr="00AC65A7" w:rsidRDefault="00D0012C" w:rsidP="00AC65A7">
      <w:pPr>
        <w:ind w:left="-567"/>
        <w:jc w:val="both"/>
      </w:pPr>
      <w:r>
        <w:t>Muito obrigado</w:t>
      </w:r>
    </w:p>
    <w:p w14:paraId="26891CE7" w14:textId="77777777" w:rsidR="00AC65A7" w:rsidRDefault="00AC65A7" w:rsidP="00AC65A7">
      <w:pPr>
        <w:ind w:left="-567"/>
        <w:jc w:val="both"/>
      </w:pPr>
      <w:bookmarkStart w:id="0" w:name="_GoBack"/>
      <w:bookmarkEnd w:id="0"/>
    </w:p>
    <w:sectPr w:rsidR="00AC65A7" w:rsidSect="0017684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A7"/>
    <w:rsid w:val="0017684A"/>
    <w:rsid w:val="003C766E"/>
    <w:rsid w:val="006E4767"/>
    <w:rsid w:val="009E2233"/>
    <w:rsid w:val="00AC65A7"/>
    <w:rsid w:val="00BD23DD"/>
    <w:rsid w:val="00D0012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20F7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3D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3D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5218">
      <w:bodyDiv w:val="1"/>
      <w:marLeft w:val="0"/>
      <w:marRight w:val="0"/>
      <w:marTop w:val="0"/>
      <w:marBottom w:val="0"/>
      <w:divBdr>
        <w:top w:val="none" w:sz="0" w:space="0" w:color="auto"/>
        <w:left w:val="none" w:sz="0" w:space="0" w:color="auto"/>
        <w:bottom w:val="none" w:sz="0" w:space="0" w:color="auto"/>
        <w:right w:val="none" w:sz="0" w:space="0" w:color="auto"/>
      </w:divBdr>
    </w:div>
    <w:div w:id="62290387">
      <w:bodyDiv w:val="1"/>
      <w:marLeft w:val="0"/>
      <w:marRight w:val="0"/>
      <w:marTop w:val="0"/>
      <w:marBottom w:val="0"/>
      <w:divBdr>
        <w:top w:val="none" w:sz="0" w:space="0" w:color="auto"/>
        <w:left w:val="none" w:sz="0" w:space="0" w:color="auto"/>
        <w:bottom w:val="none" w:sz="0" w:space="0" w:color="auto"/>
        <w:right w:val="none" w:sz="0" w:space="0" w:color="auto"/>
      </w:divBdr>
    </w:div>
    <w:div w:id="154034026">
      <w:bodyDiv w:val="1"/>
      <w:marLeft w:val="0"/>
      <w:marRight w:val="0"/>
      <w:marTop w:val="0"/>
      <w:marBottom w:val="0"/>
      <w:divBdr>
        <w:top w:val="none" w:sz="0" w:space="0" w:color="auto"/>
        <w:left w:val="none" w:sz="0" w:space="0" w:color="auto"/>
        <w:bottom w:val="none" w:sz="0" w:space="0" w:color="auto"/>
        <w:right w:val="none" w:sz="0" w:space="0" w:color="auto"/>
      </w:divBdr>
    </w:div>
    <w:div w:id="256254271">
      <w:bodyDiv w:val="1"/>
      <w:marLeft w:val="0"/>
      <w:marRight w:val="0"/>
      <w:marTop w:val="0"/>
      <w:marBottom w:val="0"/>
      <w:divBdr>
        <w:top w:val="none" w:sz="0" w:space="0" w:color="auto"/>
        <w:left w:val="none" w:sz="0" w:space="0" w:color="auto"/>
        <w:bottom w:val="none" w:sz="0" w:space="0" w:color="auto"/>
        <w:right w:val="none" w:sz="0" w:space="0" w:color="auto"/>
      </w:divBdr>
    </w:div>
    <w:div w:id="357321693">
      <w:bodyDiv w:val="1"/>
      <w:marLeft w:val="0"/>
      <w:marRight w:val="0"/>
      <w:marTop w:val="0"/>
      <w:marBottom w:val="0"/>
      <w:divBdr>
        <w:top w:val="none" w:sz="0" w:space="0" w:color="auto"/>
        <w:left w:val="none" w:sz="0" w:space="0" w:color="auto"/>
        <w:bottom w:val="none" w:sz="0" w:space="0" w:color="auto"/>
        <w:right w:val="none" w:sz="0" w:space="0" w:color="auto"/>
      </w:divBdr>
    </w:div>
    <w:div w:id="371075211">
      <w:bodyDiv w:val="1"/>
      <w:marLeft w:val="0"/>
      <w:marRight w:val="0"/>
      <w:marTop w:val="0"/>
      <w:marBottom w:val="0"/>
      <w:divBdr>
        <w:top w:val="none" w:sz="0" w:space="0" w:color="auto"/>
        <w:left w:val="none" w:sz="0" w:space="0" w:color="auto"/>
        <w:bottom w:val="none" w:sz="0" w:space="0" w:color="auto"/>
        <w:right w:val="none" w:sz="0" w:space="0" w:color="auto"/>
      </w:divBdr>
    </w:div>
    <w:div w:id="604967692">
      <w:bodyDiv w:val="1"/>
      <w:marLeft w:val="0"/>
      <w:marRight w:val="0"/>
      <w:marTop w:val="0"/>
      <w:marBottom w:val="0"/>
      <w:divBdr>
        <w:top w:val="none" w:sz="0" w:space="0" w:color="auto"/>
        <w:left w:val="none" w:sz="0" w:space="0" w:color="auto"/>
        <w:bottom w:val="none" w:sz="0" w:space="0" w:color="auto"/>
        <w:right w:val="none" w:sz="0" w:space="0" w:color="auto"/>
      </w:divBdr>
    </w:div>
    <w:div w:id="630331540">
      <w:bodyDiv w:val="1"/>
      <w:marLeft w:val="0"/>
      <w:marRight w:val="0"/>
      <w:marTop w:val="0"/>
      <w:marBottom w:val="0"/>
      <w:divBdr>
        <w:top w:val="none" w:sz="0" w:space="0" w:color="auto"/>
        <w:left w:val="none" w:sz="0" w:space="0" w:color="auto"/>
        <w:bottom w:val="none" w:sz="0" w:space="0" w:color="auto"/>
        <w:right w:val="none" w:sz="0" w:space="0" w:color="auto"/>
      </w:divBdr>
    </w:div>
    <w:div w:id="730807714">
      <w:bodyDiv w:val="1"/>
      <w:marLeft w:val="0"/>
      <w:marRight w:val="0"/>
      <w:marTop w:val="0"/>
      <w:marBottom w:val="0"/>
      <w:divBdr>
        <w:top w:val="none" w:sz="0" w:space="0" w:color="auto"/>
        <w:left w:val="none" w:sz="0" w:space="0" w:color="auto"/>
        <w:bottom w:val="none" w:sz="0" w:space="0" w:color="auto"/>
        <w:right w:val="none" w:sz="0" w:space="0" w:color="auto"/>
      </w:divBdr>
    </w:div>
    <w:div w:id="758788838">
      <w:bodyDiv w:val="1"/>
      <w:marLeft w:val="0"/>
      <w:marRight w:val="0"/>
      <w:marTop w:val="0"/>
      <w:marBottom w:val="0"/>
      <w:divBdr>
        <w:top w:val="none" w:sz="0" w:space="0" w:color="auto"/>
        <w:left w:val="none" w:sz="0" w:space="0" w:color="auto"/>
        <w:bottom w:val="none" w:sz="0" w:space="0" w:color="auto"/>
        <w:right w:val="none" w:sz="0" w:space="0" w:color="auto"/>
      </w:divBdr>
    </w:div>
    <w:div w:id="955915251">
      <w:bodyDiv w:val="1"/>
      <w:marLeft w:val="0"/>
      <w:marRight w:val="0"/>
      <w:marTop w:val="0"/>
      <w:marBottom w:val="0"/>
      <w:divBdr>
        <w:top w:val="none" w:sz="0" w:space="0" w:color="auto"/>
        <w:left w:val="none" w:sz="0" w:space="0" w:color="auto"/>
        <w:bottom w:val="none" w:sz="0" w:space="0" w:color="auto"/>
        <w:right w:val="none" w:sz="0" w:space="0" w:color="auto"/>
      </w:divBdr>
    </w:div>
    <w:div w:id="967781854">
      <w:bodyDiv w:val="1"/>
      <w:marLeft w:val="0"/>
      <w:marRight w:val="0"/>
      <w:marTop w:val="0"/>
      <w:marBottom w:val="0"/>
      <w:divBdr>
        <w:top w:val="none" w:sz="0" w:space="0" w:color="auto"/>
        <w:left w:val="none" w:sz="0" w:space="0" w:color="auto"/>
        <w:bottom w:val="none" w:sz="0" w:space="0" w:color="auto"/>
        <w:right w:val="none" w:sz="0" w:space="0" w:color="auto"/>
      </w:divBdr>
    </w:div>
    <w:div w:id="981036839">
      <w:bodyDiv w:val="1"/>
      <w:marLeft w:val="0"/>
      <w:marRight w:val="0"/>
      <w:marTop w:val="0"/>
      <w:marBottom w:val="0"/>
      <w:divBdr>
        <w:top w:val="none" w:sz="0" w:space="0" w:color="auto"/>
        <w:left w:val="none" w:sz="0" w:space="0" w:color="auto"/>
        <w:bottom w:val="none" w:sz="0" w:space="0" w:color="auto"/>
        <w:right w:val="none" w:sz="0" w:space="0" w:color="auto"/>
      </w:divBdr>
    </w:div>
    <w:div w:id="1042904532">
      <w:bodyDiv w:val="1"/>
      <w:marLeft w:val="0"/>
      <w:marRight w:val="0"/>
      <w:marTop w:val="0"/>
      <w:marBottom w:val="0"/>
      <w:divBdr>
        <w:top w:val="none" w:sz="0" w:space="0" w:color="auto"/>
        <w:left w:val="none" w:sz="0" w:space="0" w:color="auto"/>
        <w:bottom w:val="none" w:sz="0" w:space="0" w:color="auto"/>
        <w:right w:val="none" w:sz="0" w:space="0" w:color="auto"/>
      </w:divBdr>
    </w:div>
    <w:div w:id="1130827386">
      <w:bodyDiv w:val="1"/>
      <w:marLeft w:val="0"/>
      <w:marRight w:val="0"/>
      <w:marTop w:val="0"/>
      <w:marBottom w:val="0"/>
      <w:divBdr>
        <w:top w:val="none" w:sz="0" w:space="0" w:color="auto"/>
        <w:left w:val="none" w:sz="0" w:space="0" w:color="auto"/>
        <w:bottom w:val="none" w:sz="0" w:space="0" w:color="auto"/>
        <w:right w:val="none" w:sz="0" w:space="0" w:color="auto"/>
      </w:divBdr>
    </w:div>
    <w:div w:id="1294211390">
      <w:bodyDiv w:val="1"/>
      <w:marLeft w:val="0"/>
      <w:marRight w:val="0"/>
      <w:marTop w:val="0"/>
      <w:marBottom w:val="0"/>
      <w:divBdr>
        <w:top w:val="none" w:sz="0" w:space="0" w:color="auto"/>
        <w:left w:val="none" w:sz="0" w:space="0" w:color="auto"/>
        <w:bottom w:val="none" w:sz="0" w:space="0" w:color="auto"/>
        <w:right w:val="none" w:sz="0" w:space="0" w:color="auto"/>
      </w:divBdr>
    </w:div>
    <w:div w:id="1415394190">
      <w:bodyDiv w:val="1"/>
      <w:marLeft w:val="0"/>
      <w:marRight w:val="0"/>
      <w:marTop w:val="0"/>
      <w:marBottom w:val="0"/>
      <w:divBdr>
        <w:top w:val="none" w:sz="0" w:space="0" w:color="auto"/>
        <w:left w:val="none" w:sz="0" w:space="0" w:color="auto"/>
        <w:bottom w:val="none" w:sz="0" w:space="0" w:color="auto"/>
        <w:right w:val="none" w:sz="0" w:space="0" w:color="auto"/>
      </w:divBdr>
    </w:div>
    <w:div w:id="1422262382">
      <w:bodyDiv w:val="1"/>
      <w:marLeft w:val="0"/>
      <w:marRight w:val="0"/>
      <w:marTop w:val="0"/>
      <w:marBottom w:val="0"/>
      <w:divBdr>
        <w:top w:val="none" w:sz="0" w:space="0" w:color="auto"/>
        <w:left w:val="none" w:sz="0" w:space="0" w:color="auto"/>
        <w:bottom w:val="none" w:sz="0" w:space="0" w:color="auto"/>
        <w:right w:val="none" w:sz="0" w:space="0" w:color="auto"/>
      </w:divBdr>
    </w:div>
    <w:div w:id="18875259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2999</Words>
  <Characters>17095</Characters>
  <Application>Microsoft Macintosh Word</Application>
  <DocSecurity>0</DocSecurity>
  <Lines>142</Lines>
  <Paragraphs>40</Paragraphs>
  <ScaleCrop>false</ScaleCrop>
  <Company>aeb</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Raimundo Braga Coelho</dc:creator>
  <cp:keywords/>
  <dc:description/>
  <cp:lastModifiedBy>José Raimundo Braga Coelho</cp:lastModifiedBy>
  <cp:revision>8</cp:revision>
  <dcterms:created xsi:type="dcterms:W3CDTF">2016-02-16T01:39:00Z</dcterms:created>
  <dcterms:modified xsi:type="dcterms:W3CDTF">2016-02-16T08:54:00Z</dcterms:modified>
</cp:coreProperties>
</file>