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97653D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10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3E64F7">
        <w:rPr>
          <w:rFonts w:ascii="Arial" w:hAnsi="Arial" w:cs="Arial"/>
          <w:bCs/>
          <w:sz w:val="28"/>
          <w:szCs w:val="28"/>
        </w:rPr>
        <w:t>1</w:t>
      </w:r>
      <w:r w:rsidR="0097653D">
        <w:rPr>
          <w:rFonts w:ascii="Arial" w:hAnsi="Arial" w:cs="Arial"/>
          <w:bCs/>
          <w:sz w:val="28"/>
          <w:szCs w:val="28"/>
        </w:rPr>
        <w:t>6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97653D">
        <w:rPr>
          <w:rFonts w:ascii="Arial" w:hAnsi="Arial" w:cs="Arial"/>
          <w:bCs/>
          <w:sz w:val="28"/>
          <w:szCs w:val="28"/>
        </w:rPr>
        <w:t>quarta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97653D">
        <w:rPr>
          <w:rFonts w:ascii="Arial" w:hAnsi="Arial" w:cs="Arial"/>
          <w:bCs/>
          <w:sz w:val="28"/>
          <w:szCs w:val="28"/>
        </w:rPr>
        <w:t>14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 xml:space="preserve">o Plenário nº 2 da Ala Nilo Coelho, Anexo II, do Senado </w:t>
      </w:r>
      <w:proofErr w:type="gramStart"/>
      <w:r w:rsidR="0023394B">
        <w:rPr>
          <w:rFonts w:ascii="Arial" w:hAnsi="Arial" w:cs="Arial"/>
          <w:bCs/>
          <w:sz w:val="28"/>
          <w:szCs w:val="28"/>
        </w:rPr>
        <w:t>Federal</w:t>
      </w:r>
      <w:proofErr w:type="gramEnd"/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23394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Depoimentos dos </w:t>
      </w:r>
      <w:r w:rsidR="0097653D">
        <w:rPr>
          <w:rFonts w:ascii="Arial" w:hAnsi="Arial" w:cs="Arial"/>
          <w:b w:val="0"/>
          <w:sz w:val="32"/>
          <w:szCs w:val="28"/>
        </w:rPr>
        <w:t xml:space="preserve">Procuradores </w:t>
      </w:r>
      <w:r>
        <w:rPr>
          <w:rFonts w:ascii="Arial" w:hAnsi="Arial" w:cs="Arial"/>
          <w:b w:val="0"/>
          <w:sz w:val="32"/>
          <w:szCs w:val="28"/>
        </w:rPr>
        <w:t xml:space="preserve">Federais </w:t>
      </w:r>
      <w:r w:rsidR="0097653D">
        <w:rPr>
          <w:rFonts w:ascii="Arial" w:hAnsi="Arial" w:cs="Arial"/>
          <w:b w:val="0"/>
          <w:sz w:val="32"/>
          <w:szCs w:val="28"/>
        </w:rPr>
        <w:t>Daniel de Resende Salgado e Léa Batista de Oliveira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B41D3" w:rsidRDefault="002B41D3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6F66E9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B41D3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61C21"/>
    <w:rsid w:val="0069098C"/>
    <w:rsid w:val="00692E58"/>
    <w:rsid w:val="006B38DD"/>
    <w:rsid w:val="006D3993"/>
    <w:rsid w:val="006D48CC"/>
    <w:rsid w:val="006D7DF2"/>
    <w:rsid w:val="006E7F94"/>
    <w:rsid w:val="006F0019"/>
    <w:rsid w:val="006F4560"/>
    <w:rsid w:val="006F66E9"/>
    <w:rsid w:val="0070498F"/>
    <w:rsid w:val="00710538"/>
    <w:rsid w:val="0075293F"/>
    <w:rsid w:val="007543B8"/>
    <w:rsid w:val="007731DC"/>
    <w:rsid w:val="007836DE"/>
    <w:rsid w:val="0079485E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7653D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63426"/>
    <w:rsid w:val="00E64295"/>
    <w:rsid w:val="00E90EDA"/>
    <w:rsid w:val="00ED305A"/>
    <w:rsid w:val="00F0275D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1560</Characters>
  <Application>Microsoft Office Word</Application>
  <DocSecurity>0</DocSecurity>
  <Lines>13</Lines>
  <Paragraphs>3</Paragraphs>
  <ScaleCrop>false</ScaleCrop>
  <Company>Senado Federal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espedita</cp:lastModifiedBy>
  <cp:revision>3</cp:revision>
  <cp:lastPrinted>2012-04-25T14:52:00Z</cp:lastPrinted>
  <dcterms:created xsi:type="dcterms:W3CDTF">2012-05-10T19:49:00Z</dcterms:created>
  <dcterms:modified xsi:type="dcterms:W3CDTF">2012-05-10T19:50:00Z</dcterms:modified>
</cp:coreProperties>
</file>