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D4" w:rsidRDefault="00A24DF4">
      <w:pPr>
        <w:jc w:val="both"/>
      </w:pPr>
      <w:r>
        <w:rPr>
          <w:rFonts w:ascii="Myriad Pro" w:eastAsia="Myriad Pro" w:hAnsi="Myriad Pro" w:cs="Myriad Pro"/>
          <w:caps/>
        </w:rPr>
        <w:t>ATA DA 23ª REUNIÃO, Extraordinária, DA Comissão de Transparência, Governança, Fiscalização e Controle e Defesa do Consumidor DA 3ª SESSÃO LEGISLATIVA Ordinária DA 56ª LEGISLATURA, REALIZADA EM 14 de Dezembro de 2021, Terça-feira, NO SENADO FEDERAL, Anexo II, Ala Senador Alexandre Costa, Plenário nº 13.</w:t>
      </w:r>
    </w:p>
    <w:p w:rsidR="00337ED4" w:rsidRDefault="00337ED4"/>
    <w:p w:rsidR="00337ED4" w:rsidRDefault="00A24DF4">
      <w:pPr>
        <w:jc w:val="both"/>
      </w:pPr>
      <w:r>
        <w:rPr>
          <w:rFonts w:ascii="Myriad Pro" w:eastAsia="Myriad Pro" w:hAnsi="Myriad Pro" w:cs="Myriad Pro"/>
        </w:rPr>
        <w:t>Às quatorze horas e quarenta e seis minutos do dia quatorze de dezembro de dois mil e vinte e um, no Anexo II, Ala Senador Alexandre Costa, Plenário nº 13, sob a Presidência do Senador Reguffe, reúne-se a Comissão de Transparência, Governança, Fiscalização e Controle e Defesa do Consumidor com a presença dos Senadores Eliane Nogueira, Nelsinho Trad, Wellington Fagundes, Paulo Rocha e Luis Carlos Heinze, e ainda dos Senadores não membros Angelo Coronel e Plínio Valério. Deixam de comparecer os Senadores Eduardo Braga, Dário Berger, Fernando Bezerra Coelho, Mara Gabrilli, Rodrigo Cunha, Marcos do Val, Irajá, Telmário Mota, Randolfe Rodrigues e Acir Gurgacz.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A24DF4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2ª, 3ª, 7ª, 19ª, 21ª e 22ª reuniões, que são aprovadas.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Consumidor n° 18, de 2021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instruir o PLS 323/2018, que “estabelece normas gerais de proteção e incentivo a pessoas naturais que relatem suspeitas de irregularidades no âmbito de entes públicos ou privados”."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Fabiano Contarato (REDE/ES).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Consumidor n° 19, de 2021 </w:t>
      </w:r>
      <w:r>
        <w:rPr>
          <w:rFonts w:ascii="Myriad Pro" w:eastAsia="Myriad Pro" w:hAnsi="Myriad Pro" w:cs="Myriad Pro"/>
        </w:rPr>
        <w:t>que: "Requer, nos termos do art. 58, § 2°, V, da Constituição Federal, que seja convidado o Exmo. Sr. Antônio Augusto Brandão de Aras, Procurador-Geral da República, a comparecer a esta Comissão, a fim de prestar  esclarecimentos sobre o andamento das providências adotadas frente aos fatos levantados e aos indiciamentos contidos no Relatório da CPI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Requerimento da Comissão de Transparência, Governança, Fiscalização e Controle e Defesa do Consumidor n° 20, de 2021 </w:t>
      </w:r>
      <w:r>
        <w:rPr>
          <w:rFonts w:ascii="Myriad Pro" w:eastAsia="Myriad Pro" w:hAnsi="Myriad Pro" w:cs="Myriad Pro"/>
        </w:rPr>
        <w:t>que: "Requer, nos termos do art. 90, inciso XIII, e art. 142 do Regimento Interno do Senado Federal, a realização de diligência externa acerca da privatização do serviço de fornecimento de água e tratamento de esgoto da capital alagoana em Maceió."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Requerimento da Comissão de Transparência, Governança, Fiscalização e Controle e Defesa do Consumidor n° 21, de 2021 </w:t>
      </w:r>
      <w:r>
        <w:rPr>
          <w:rFonts w:ascii="Myriad Pro" w:eastAsia="Myriad Pro" w:hAnsi="Myriad Pro" w:cs="Myriad Pro"/>
        </w:rPr>
        <w:t>que: "Requer que sejam prestadas, pelo Senhor Ministro de Estado da Saúde, Marcelo Antônio Cartaxo Queiroga Lopes, informações sobre o contrato de aquisição de 100 milhões de doses de vacinas contra Covid-19 desenvolvida pela Pfizer firmado em 29.11.2021 pelo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da Câmara n° 153, de 2015 - Não Terminativo - </w:t>
      </w:r>
      <w:r>
        <w:rPr>
          <w:rFonts w:ascii="Myriad Pro" w:eastAsia="Myriad Pro" w:hAnsi="Myriad Pro" w:cs="Myriad Pro"/>
        </w:rPr>
        <w:t>que: "Acrescenta parágrafo ao art. 1º da Lei nº 11.975, de 7 de julho de 2009, para possibilitar a emissão de segunda via do bilhete de passagem no transporte coletivo rodoviário interestadual e internacional."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da </w:t>
      </w:r>
      <w:r>
        <w:rPr>
          <w:rFonts w:ascii="Myriad Pro" w:eastAsia="Myriad Pro" w:hAnsi="Myriad Pro" w:cs="Myriad Pro"/>
          <w:b/>
        </w:rPr>
        <w:lastRenderedPageBreak/>
        <w:t xml:space="preserve">Câmara n° 207, de 2015 - Não Terminativo - </w:t>
      </w:r>
      <w:r>
        <w:rPr>
          <w:rFonts w:ascii="Myriad Pro" w:eastAsia="Myriad Pro" w:hAnsi="Myriad Pro" w:cs="Myriad Pro"/>
        </w:rPr>
        <w:t>que: "Altera a Lei nº 10.962, de 11 de outubro de 2004, para aditar formas de afixação de preço de bens e serviços para 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para incluir instrumentos que garantam que a equidade regional seja princípio norteador para a aprovação dos projetos apreciados pela Secretaria Especial da Cultura do Ministério da Cidadania e que a divulgação das informações dos projetos aprovados, no âmbito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134, de 2016 - Terminativo - </w:t>
      </w:r>
      <w:r>
        <w:rPr>
          <w:rFonts w:ascii="Myriad Pro" w:eastAsia="Myriad Pro" w:hAnsi="Myriad Pro" w:cs="Myriad Pro"/>
        </w:rPr>
        <w:t>que: "Altera a Lei nº 9.818, de 23 de agosto de 1999, para obrigar a CAMEX a publicar o custo econômico estimado na concessão de seguro de crédito à exportação, por operação de crédito, em sítio público, e disponibilizar ao Tribunal de Contas da União, a metodologia de cálculo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>que: "Altera a Lei nº 9.818, de 23 de agosto de 1999, para obrigar a CAMEX a publicar em sítio público informações sobre as decisões de concessão de seguro de 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PLS 134/2016, nos termos do substitutivo, e pelo arquivamento do PLS 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3183, de 2019 - Terminativo - </w:t>
      </w:r>
      <w:r>
        <w:rPr>
          <w:rFonts w:ascii="Myriad Pro" w:eastAsia="Myriad Pro" w:hAnsi="Myriad Pro" w:cs="Myriad Pro"/>
        </w:rPr>
        <w:t>que: "Altera a Lei nº 10.260, de 12 de julho de 2001, para 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serviços públicos ofereçam aos seus usuários 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Styvenson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4290,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 para determinar que a multa por infração às normas de defesa do consumidor seja graduada de acordo com a condição de vulnerabilidade do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quatorze horas e quarenta e nove minutos. Após aprovação, a presente Ata será assinada pelo Senhor Presidente e publicada no Diário do Senado Federal.</w:t>
      </w:r>
    </w:p>
    <w:p w:rsidR="00337ED4" w:rsidRDefault="00337ED4"/>
    <w:p w:rsidR="00337ED4" w:rsidRDefault="00337ED4"/>
    <w:p w:rsidR="00337ED4" w:rsidRDefault="00337ED4"/>
    <w:p w:rsidR="00337ED4" w:rsidRDefault="00A24DF4">
      <w:pPr>
        <w:jc w:val="center"/>
      </w:pPr>
      <w:r>
        <w:rPr>
          <w:rFonts w:ascii="Myriad Pro" w:eastAsia="Myriad Pro" w:hAnsi="Myriad Pro" w:cs="Myriad Pro"/>
          <w:b/>
        </w:rPr>
        <w:t>Senador Reguffe</w:t>
      </w:r>
    </w:p>
    <w:p w:rsidR="00337ED4" w:rsidRDefault="00A24DF4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337ED4" w:rsidRDefault="00337ED4"/>
    <w:p w:rsidR="00337ED4" w:rsidRDefault="00337ED4"/>
    <w:p w:rsidR="00337ED4" w:rsidRDefault="00337ED4"/>
    <w:p w:rsidR="00337ED4" w:rsidRDefault="00A24DF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37ED4" w:rsidRDefault="00F647B6">
      <w:pPr>
        <w:jc w:val="center"/>
      </w:pPr>
      <w:hyperlink r:id="rId6">
        <w:r w:rsidR="00A24DF4">
          <w:t>http://www12.senado.leg.br/multimidia/eventos/2021/12/14</w:t>
        </w:r>
      </w:hyperlink>
    </w:p>
    <w:p w:rsidR="00524D9A" w:rsidRDefault="00524D9A">
      <w:pPr>
        <w:jc w:val="center"/>
      </w:pPr>
    </w:p>
    <w:p w:rsidR="00524D9A" w:rsidRDefault="00524D9A">
      <w:pPr>
        <w:jc w:val="center"/>
      </w:pPr>
    </w:p>
    <w:p w:rsidR="00524D9A" w:rsidRPr="00823775" w:rsidRDefault="00524D9A" w:rsidP="00524D9A">
      <w:pPr>
        <w:pStyle w:val="Escriba-Normal"/>
        <w:ind w:firstLine="0"/>
        <w:jc w:val="center"/>
      </w:pPr>
      <w:r w:rsidRPr="00823775">
        <w:t>(</w:t>
      </w:r>
      <w:r w:rsidRPr="00823775">
        <w:rPr>
          <w:i/>
        </w:rPr>
        <w:t>Texto com revisão.</w:t>
      </w:r>
      <w:r w:rsidRPr="00823775">
        <w:t>)</w:t>
      </w:r>
    </w:p>
    <w:p w:rsidR="00524D9A" w:rsidRDefault="00524D9A" w:rsidP="00524D9A">
      <w:pPr>
        <w:pStyle w:val="Escriba-Normal"/>
        <w:rPr>
          <w:b/>
        </w:rPr>
      </w:pPr>
    </w:p>
    <w:p w:rsidR="00524D9A" w:rsidRDefault="00524D9A" w:rsidP="00524D9A">
      <w:pPr>
        <w:pStyle w:val="Escriba-Normal"/>
      </w:pPr>
      <w:r>
        <w:rPr>
          <w:b/>
        </w:rPr>
        <w:t xml:space="preserve">O SR. PRESIDENTE </w:t>
      </w:r>
      <w:r>
        <w:t>(Reguffe. Bloco Parlamentar PODEMOS/PSDB/PSL/PODEMOS - DF. Fala da Presidência.) – Declaro aberta a 23ª Reunião, Extraordinária, da Comissão de Transparência, Governança, Fiscalização e Controle e Defesa do Consumidor da 3ª Sessão Legislativa Ordinária da 56ª Legislatura.</w:t>
      </w:r>
    </w:p>
    <w:p w:rsidR="00524D9A" w:rsidRDefault="00524D9A" w:rsidP="00524D9A">
      <w:pPr>
        <w:pStyle w:val="Escriba-Normal"/>
      </w:pPr>
      <w:r>
        <w:t>Submeto aos Srs. Senadores a dispensa da leitura e a aprovação das atas da 2ª, 3ª, 7ª, 19ª, 21ª e 22ª Reuniões. (</w:t>
      </w:r>
      <w:r>
        <w:rPr>
          <w:i/>
        </w:rPr>
        <w:t>Pausa.</w:t>
      </w:r>
      <w:r>
        <w:t>)</w:t>
      </w:r>
    </w:p>
    <w:p w:rsidR="00524D9A" w:rsidRDefault="00524D9A" w:rsidP="00524D9A">
      <w:pPr>
        <w:pStyle w:val="Escriba-Normal"/>
      </w:pPr>
      <w:r>
        <w:t>As atas estão aprovadas e serão publicadas no</w:t>
      </w:r>
      <w:r>
        <w:rPr>
          <w:i/>
        </w:rPr>
        <w:t xml:space="preserve"> Diário do Senado Federal</w:t>
      </w:r>
      <w:r>
        <w:t>.</w:t>
      </w:r>
    </w:p>
    <w:p w:rsidR="00524D9A" w:rsidRDefault="00524D9A" w:rsidP="00524D9A">
      <w:pPr>
        <w:pStyle w:val="Escriba-Normal"/>
      </w:pPr>
      <w:r>
        <w:t>Leitura de avisos, ofícios e demais documentos recebidos na Comissão.</w:t>
      </w:r>
    </w:p>
    <w:p w:rsidR="00524D9A" w:rsidRDefault="00524D9A" w:rsidP="00524D9A">
      <w:pPr>
        <w:pStyle w:val="Escriba-Normal"/>
      </w:pPr>
      <w:r>
        <w:t>Comunico o recebimento dos seguintes documentos:</w:t>
      </w:r>
    </w:p>
    <w:p w:rsidR="00524D9A" w:rsidRDefault="00524D9A" w:rsidP="00524D9A">
      <w:pPr>
        <w:pStyle w:val="Escriba-Normal"/>
      </w:pPr>
      <w:r>
        <w:t>– Avisos 836 e 1.936, de 2020, do Tribunal de Contas da União;</w:t>
      </w:r>
    </w:p>
    <w:p w:rsidR="00524D9A" w:rsidRDefault="00524D9A" w:rsidP="00524D9A">
      <w:pPr>
        <w:pStyle w:val="Escriba-Normal"/>
      </w:pPr>
      <w:r>
        <w:t>– Avisos 219, 552, 762, 830, 850, 910, 1.015, 1.312, 1.410, 1.647, 1.742, 1.805, 1.809, 1.837, 1.940, de 2021, também do Tribunal de Contas da União.</w:t>
      </w:r>
    </w:p>
    <w:p w:rsidR="00524D9A" w:rsidRDefault="00524D9A" w:rsidP="00524D9A">
      <w:pPr>
        <w:pStyle w:val="Escriba-Normal"/>
      </w:pPr>
      <w:r>
        <w:t xml:space="preserve">Os documentos lidos estarão disponíveis na página da Comissão, na seção "documentos recebidos", com o </w:t>
      </w:r>
      <w:r>
        <w:rPr>
          <w:i/>
        </w:rPr>
        <w:t xml:space="preserve">link </w:t>
      </w:r>
      <w:r>
        <w:t>para acesso a seu conteúdo por um prazo de 15 dias, de forma que os Srs. Senadores possam se manifestar caso assim desejem. Não havendo manifestação após esse prazo, o referido documento será arquivado, nos termos da Instrução Normativa da Secretaria-Geral da Mesa nº 12, de 2019. (</w:t>
      </w:r>
      <w:r>
        <w:rPr>
          <w:i/>
        </w:rPr>
        <w:t>Pausa.</w:t>
      </w:r>
      <w:r>
        <w:t>)</w:t>
      </w:r>
    </w:p>
    <w:p w:rsidR="00524D9A" w:rsidRDefault="00524D9A" w:rsidP="00524D9A">
      <w:pPr>
        <w:pStyle w:val="Escriba-Normal"/>
      </w:pPr>
      <w:r>
        <w:t>Devido à ausência de quórum para deliberação, vou encerrar a presente reunião, a última do ano.</w:t>
      </w:r>
    </w:p>
    <w:p w:rsidR="00524D9A" w:rsidRDefault="00524D9A" w:rsidP="00524D9A">
      <w:pPr>
        <w:pStyle w:val="Escriba-Normal"/>
      </w:pPr>
      <w:r>
        <w:t>Antes, quero agradecer a toda equipe da Comissão, que trabalhou com muita dedicação durante este ano. Quero também agradecer aos Senadores, que cumpriram com suas obrigações aqui na Comissão este ano, e desejar a todos um feliz Natal, um Natal abençoado; que todos tenhamos, no ano de 2022, um ano melhor, com saúde para todos; e que consigamos superar, de uma vez, essa pandemia, que tanto mal fez à nossa sociedade.</w:t>
      </w:r>
    </w:p>
    <w:p w:rsidR="00524D9A" w:rsidRDefault="00524D9A" w:rsidP="00524D9A">
      <w:pPr>
        <w:pStyle w:val="Escriba-Normal"/>
      </w:pPr>
      <w:r>
        <w:t>Um grande abraço muito carinhoso a todos. Um feliz Natal!</w:t>
      </w:r>
    </w:p>
    <w:p w:rsidR="00524D9A" w:rsidRDefault="00524D9A" w:rsidP="00524D9A">
      <w:pPr>
        <w:pStyle w:val="Escriba-Normal"/>
      </w:pPr>
      <w:r>
        <w:lastRenderedPageBreak/>
        <w:t xml:space="preserve">Muito obrigado. </w:t>
      </w:r>
    </w:p>
    <w:p w:rsidR="00524D9A" w:rsidRDefault="00524D9A" w:rsidP="00524D9A">
      <w:pPr>
        <w:pStyle w:val="Escriba-Anotacao"/>
        <w:jc w:val="right"/>
      </w:pPr>
      <w:r>
        <w:t>(</w:t>
      </w:r>
      <w:r>
        <w:rPr>
          <w:i/>
        </w:rPr>
        <w:t>Iniciada às 14 horas e 46 minutos, a reunião é encerrada às 14 horas e 50 minutos.</w:t>
      </w:r>
      <w:r>
        <w:t>)</w:t>
      </w:r>
    </w:p>
    <w:p w:rsidR="00524D9A" w:rsidRDefault="00524D9A">
      <w:pPr>
        <w:jc w:val="center"/>
      </w:pPr>
      <w:bookmarkStart w:id="0" w:name="_GoBack"/>
      <w:bookmarkEnd w:id="0"/>
    </w:p>
    <w:p w:rsidR="00337ED4" w:rsidRDefault="00337ED4"/>
    <w:p w:rsidR="00337ED4" w:rsidRDefault="00337ED4"/>
    <w:p w:rsidR="00337ED4" w:rsidRDefault="00337ED4"/>
    <w:p w:rsidR="00337ED4" w:rsidRDefault="00337ED4"/>
    <w:sectPr w:rsidR="00337ED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B6" w:rsidRDefault="00F647B6">
      <w:pPr>
        <w:spacing w:after="0" w:line="240" w:lineRule="auto"/>
      </w:pPr>
      <w:r>
        <w:separator/>
      </w:r>
    </w:p>
  </w:endnote>
  <w:endnote w:type="continuationSeparator" w:id="0">
    <w:p w:rsidR="00F647B6" w:rsidRDefault="00F6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B6" w:rsidRDefault="00F647B6">
      <w:pPr>
        <w:spacing w:after="0" w:line="240" w:lineRule="auto"/>
      </w:pPr>
      <w:r>
        <w:separator/>
      </w:r>
    </w:p>
  </w:footnote>
  <w:footnote w:type="continuationSeparator" w:id="0">
    <w:p w:rsidR="00F647B6" w:rsidRDefault="00F6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D4" w:rsidRDefault="00A24DF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7ED4" w:rsidRDefault="00A24DF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37ED4" w:rsidRDefault="00A24DF4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337ED4" w:rsidRDefault="00337E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D4"/>
    <w:rsid w:val="00337ED4"/>
    <w:rsid w:val="003940FA"/>
    <w:rsid w:val="00524D9A"/>
    <w:rsid w:val="00A24DF4"/>
    <w:rsid w:val="00F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D7FD4-FAD2-4ECF-84EA-7145E07F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basedOn w:val="Normal"/>
    <w:qFormat/>
    <w:rsid w:val="00524D9A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524D9A"/>
    <w:pPr>
      <w:spacing w:before="160" w:line="240" w:lineRule="auto"/>
      <w:jc w:val="both"/>
    </w:pPr>
    <w:rPr>
      <w:rFonts w:ascii="Myriad Pro" w:eastAsia="Times New Roman" w:hAnsi="Myriad Pr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1478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23 ª Reunião, Extraordinária, da Comissão de Transparência, Governança, Fiscalização e Controle e Defesa do Consumidor, de 14/12/2021</vt:lpstr>
    </vt:vector>
  </TitlesOfParts>
  <Company>Senado Federal</Company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23 ª Reunião, Extraordinária, da Comissão de Transparência, Governança, Fiscalização e Controle e Defesa do Consumidor, de 14/12/2021</dc:title>
  <dc:subject>Ata de reunião de Comissão do Senado Federal</dc:subject>
  <dc:creator>Oscar Perné do Carmo Júnior</dc:creator>
  <dc:description>Ata da 23 ª Reunião, Extraordinária, da Comissão de Transparência, Governança, Fiscalização e Controle e Defesa do Consumidor, de 14/12/2021 da 3ª Sessão Legislativa Ordinária da 56ª Legislatura, realizada em 14 de Dezembro de 2021, Terça-feira, no Senado Federal, Anexo II, Ala Senador Alexandre Costa, Plenário nº 13.
Arquivo gerado através do sistema Comiss.
Usuário: Oscar Perné do Carmo Júnior (OPERNE). Gerado em: 29/12/2021 15:30:17.</dc:description>
  <cp:lastModifiedBy>Bruno Cunha Lima</cp:lastModifiedBy>
  <cp:revision>3</cp:revision>
  <dcterms:created xsi:type="dcterms:W3CDTF">2021-12-29T18:34:00Z</dcterms:created>
  <dcterms:modified xsi:type="dcterms:W3CDTF">2021-12-29T22:40:00Z</dcterms:modified>
</cp:coreProperties>
</file>