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91663" w14:textId="77777777" w:rsidR="000D5FCB" w:rsidRDefault="000C6886" w:rsidP="000D5FCB">
      <w:pPr>
        <w:pStyle w:val="02-TtuloPrincipal-CLG"/>
      </w:pPr>
      <w:r>
        <w:rPr>
          <w:caps/>
        </w:rPr>
        <w:t>Projeto de Resolução do Senado Nº</w:t>
      </w:r>
      <w:r w:rsidR="000D5FCB">
        <w:t xml:space="preserve">     </w:t>
      </w:r>
      <w:proofErr w:type="gramStart"/>
      <w:r w:rsidR="000D5FCB">
        <w:t xml:space="preserve">  ,</w:t>
      </w:r>
      <w:proofErr w:type="gramEnd"/>
      <w:r w:rsidR="000D5FCB">
        <w:t xml:space="preserve"> DE 2017</w:t>
      </w:r>
    </w:p>
    <w:p w14:paraId="477CB825" w14:textId="3A4A190B" w:rsidR="000D5FCB" w:rsidRPr="00906470" w:rsidRDefault="00D200DE" w:rsidP="00D200DE">
      <w:pPr>
        <w:pStyle w:val="03-Ementa-CLG"/>
      </w:pPr>
      <w:r w:rsidRPr="00D200DE">
        <w:t>Altera a Resolução nº 93, de</w:t>
      </w:r>
      <w:r>
        <w:t xml:space="preserve"> 27 de novembro de </w:t>
      </w:r>
      <w:r w:rsidRPr="00D200DE">
        <w:t>1970,</w:t>
      </w:r>
      <w:r w:rsidR="00A64D57">
        <w:t xml:space="preserve"> </w:t>
      </w:r>
      <w:r w:rsidR="001B0647">
        <w:t xml:space="preserve">do Senado Federal – </w:t>
      </w:r>
      <w:r w:rsidR="00A64D57">
        <w:t>Regimento Interno do Senado Federal</w:t>
      </w:r>
      <w:r w:rsidR="001B0647">
        <w:t>,</w:t>
      </w:r>
      <w:r w:rsidRPr="00D200DE">
        <w:t xml:space="preserve"> para incluir o procedimento de análise da </w:t>
      </w:r>
      <w:r w:rsidR="001B0647">
        <w:t xml:space="preserve">compatibilidade e </w:t>
      </w:r>
      <w:r w:rsidRPr="00D200DE">
        <w:t>adequação orçamentária e financeira das proposições que importem em criação ou aumento de despesa obrigatória ou em renúncia de receita</w:t>
      </w:r>
      <w:r>
        <w:t>.</w:t>
      </w:r>
    </w:p>
    <w:p w14:paraId="16B137BD" w14:textId="77777777" w:rsidR="000D5FCB" w:rsidRDefault="00FB6FFD" w:rsidP="000D5FCB">
      <w:pPr>
        <w:pStyle w:val="05-Pargrafodetexto-CLG"/>
      </w:pPr>
      <w:r>
        <w:t>O SENADO FEDERAL resolve:</w:t>
      </w:r>
    </w:p>
    <w:p w14:paraId="27B40E66" w14:textId="4D0AAB54" w:rsidR="000D5FCB" w:rsidRDefault="00352BC2" w:rsidP="000D5FCB">
      <w:pPr>
        <w:pStyle w:val="05-Pargrafodetexto-CLG"/>
      </w:pPr>
      <w:r w:rsidRPr="00352BC2">
        <w:rPr>
          <w:b/>
        </w:rPr>
        <w:t>Art. 1º</w:t>
      </w:r>
      <w:r>
        <w:t xml:space="preserve"> A Resolução do Senado Federal nº 93, de 27 de novembro de 1970, passa a vigorar com as seguintes alterações:</w:t>
      </w:r>
    </w:p>
    <w:p w14:paraId="4199367F" w14:textId="77777777" w:rsidR="00352BC2" w:rsidRDefault="00352BC2" w:rsidP="00352BC2">
      <w:pPr>
        <w:pStyle w:val="07-Citaolegal-CLG"/>
      </w:pPr>
      <w:r>
        <w:t>“</w:t>
      </w:r>
      <w:r w:rsidRPr="00352BC2">
        <w:rPr>
          <w:b/>
        </w:rPr>
        <w:t>Art. 99.</w:t>
      </w:r>
      <w:r>
        <w:t xml:space="preserve"> ...................................</w:t>
      </w:r>
    </w:p>
    <w:p w14:paraId="2DCC7F01" w14:textId="77777777" w:rsidR="00352BC2" w:rsidRDefault="00352BC2" w:rsidP="00352BC2">
      <w:pPr>
        <w:pStyle w:val="07-Citaolegal-CLG"/>
      </w:pPr>
      <w:r>
        <w:t>...................................................</w:t>
      </w:r>
    </w:p>
    <w:p w14:paraId="19310D2D" w14:textId="77777777" w:rsidR="00352BC2" w:rsidRDefault="00352BC2" w:rsidP="00352BC2">
      <w:pPr>
        <w:pStyle w:val="07-Citaolegal-CLG"/>
      </w:pPr>
      <w:r>
        <w:lastRenderedPageBreak/>
        <w:t xml:space="preserve">VII – </w:t>
      </w:r>
      <w:r w:rsidRPr="00352BC2">
        <w:t>matéria</w:t>
      </w:r>
      <w:r>
        <w:t>s</w:t>
      </w:r>
      <w:r w:rsidRPr="00352BC2">
        <w:t xml:space="preserve"> que, direta ou indiretamente, preveja</w:t>
      </w:r>
      <w:r>
        <w:t>m</w:t>
      </w:r>
      <w:r w:rsidRPr="00352BC2">
        <w:t xml:space="preserve"> a criação ou aumento de despesa obrigatória ou a renúncia de receita, quanto à compatibilidade e adequação orçamentária e financeira d</w:t>
      </w:r>
      <w:r>
        <w:t>ess</w:t>
      </w:r>
      <w:r w:rsidRPr="00352BC2">
        <w:t>a</w:t>
      </w:r>
      <w:r>
        <w:t>s</w:t>
      </w:r>
      <w:r w:rsidRPr="00352BC2">
        <w:t xml:space="preserve"> matéria</w:t>
      </w:r>
      <w:r>
        <w:t>s;</w:t>
      </w:r>
    </w:p>
    <w:p w14:paraId="09D33997" w14:textId="77777777" w:rsidR="00352BC2" w:rsidRDefault="00352BC2" w:rsidP="00352BC2">
      <w:pPr>
        <w:pStyle w:val="07-Citaolegal-CLG"/>
      </w:pPr>
      <w:r>
        <w:t>VIII – outros assuntos correlatos.</w:t>
      </w:r>
    </w:p>
    <w:p w14:paraId="0754F8DA" w14:textId="77777777" w:rsidR="00352BC2" w:rsidRDefault="00352BC2" w:rsidP="00352BC2">
      <w:pPr>
        <w:pStyle w:val="07-Citaolegal-CLG"/>
      </w:pPr>
      <w:r>
        <w:t>...................................................</w:t>
      </w:r>
    </w:p>
    <w:p w14:paraId="61DB7000" w14:textId="363470BE" w:rsidR="00352BC2" w:rsidRDefault="00352BC2" w:rsidP="00352BC2">
      <w:pPr>
        <w:pStyle w:val="07-Citaolegal-CLG"/>
      </w:pPr>
      <w:r>
        <w:t xml:space="preserve">§ </w:t>
      </w:r>
      <w:r w:rsidR="00023CEE">
        <w:t>4</w:t>
      </w:r>
      <w:r>
        <w:t>º O exame d</w:t>
      </w:r>
      <w:r w:rsidR="00556AE4">
        <w:t>a</w:t>
      </w:r>
      <w:r>
        <w:t xml:space="preserve"> compatibilidade e adequação orçamentária e financeira abrange a análise da repercussão sobre a despesa obrigatória ou a receita da União em decorrência da aprovação da matéria e o atendimento pela proposição das normas orçamentárias e financeiras vigentes, em especial as previstas na Constituição Federal, na Lei Complementar nº 101, de 4 de maio de 2000, na lei do plano plurianual, na lei de diretrizes orçamentárias e na lei orçamentária.</w:t>
      </w:r>
    </w:p>
    <w:p w14:paraId="3A64A1AB" w14:textId="707DD25C" w:rsidR="00352BC2" w:rsidRDefault="00352BC2" w:rsidP="00352BC2">
      <w:pPr>
        <w:pStyle w:val="07-Citaolegal-CLG"/>
      </w:pPr>
      <w:r>
        <w:t xml:space="preserve">§ </w:t>
      </w:r>
      <w:r w:rsidR="00023CEE">
        <w:t>5</w:t>
      </w:r>
      <w:r>
        <w:t xml:space="preserve">º Havendo mais de uma comissão responsável pela análise da proposição que se enquadre no inciso VII do </w:t>
      </w:r>
      <w:r w:rsidRPr="00C51AA3">
        <w:rPr>
          <w:i/>
        </w:rPr>
        <w:t>caput</w:t>
      </w:r>
      <w:r>
        <w:t xml:space="preserve"> deste artigo, a Comissão de Assuntos Econômicos manifestar-se-á sempre por último e após o oferecimento de emendas</w:t>
      </w:r>
      <w:r w:rsidR="003173C6">
        <w:t xml:space="preserve"> e subemendas</w:t>
      </w:r>
      <w:r>
        <w:t xml:space="preserve"> e</w:t>
      </w:r>
      <w:r w:rsidR="003173C6">
        <w:t xml:space="preserve"> a</w:t>
      </w:r>
      <w:r>
        <w:t xml:space="preserve"> apresentação d</w:t>
      </w:r>
      <w:r w:rsidR="003173C6">
        <w:t>e</w:t>
      </w:r>
      <w:r>
        <w:t xml:space="preserve"> substitutivo, se houver.</w:t>
      </w:r>
    </w:p>
    <w:p w14:paraId="419AE5A7" w14:textId="525E94BC" w:rsidR="00352BC2" w:rsidRDefault="00352BC2" w:rsidP="00352BC2">
      <w:pPr>
        <w:pStyle w:val="07-Citaolegal-CLG"/>
      </w:pPr>
      <w:r>
        <w:t xml:space="preserve">§ </w:t>
      </w:r>
      <w:r w:rsidR="00023CEE">
        <w:t>6</w:t>
      </w:r>
      <w:r>
        <w:t>º O autor da proposição poderá atualizar as informações necessárias à avaliação da compatibilidade e adequação orçamentária e financeira, podendo o Rela</w:t>
      </w:r>
      <w:r w:rsidR="00AF2777">
        <w:lastRenderedPageBreak/>
        <w:t>tor, diretamente ou por meio da Consultoria de Orçamentos, Fiscalização e Controle do Senado Federal,</w:t>
      </w:r>
      <w:r>
        <w:t xml:space="preserve"> realizar a atualização, recorrendo</w:t>
      </w:r>
      <w:r w:rsidR="00F3581A">
        <w:t>,</w:t>
      </w:r>
      <w:r>
        <w:t xml:space="preserve"> se necessário, inclusive mediante diligência, aos órgãos competentes da administração pública federal.</w:t>
      </w:r>
    </w:p>
    <w:p w14:paraId="6E690AE9" w14:textId="239D67D5" w:rsidR="00352BC2" w:rsidRDefault="00352BC2" w:rsidP="00352BC2">
      <w:pPr>
        <w:pStyle w:val="07-Citaolegal-CLG"/>
      </w:pPr>
      <w:r>
        <w:t xml:space="preserve">§ </w:t>
      </w:r>
      <w:r w:rsidR="00023CEE">
        <w:t>7</w:t>
      </w:r>
      <w:r>
        <w:t xml:space="preserve">º O parecer da Comissão analisará necessariamente, em tópico específico, a compatibilidade e adequação orçamentária e financeira da proposição </w:t>
      </w:r>
      <w:r w:rsidR="00C13F0D">
        <w:t xml:space="preserve">e respectivas emendas </w:t>
      </w:r>
      <w:r w:rsidR="003173C6">
        <w:t xml:space="preserve">e subemendas </w:t>
      </w:r>
      <w:r w:rsidR="00C13F0D">
        <w:t xml:space="preserve">ou, se houver, do seu substitutivo </w:t>
      </w:r>
      <w:r>
        <w:t>para o</w:t>
      </w:r>
      <w:r w:rsidR="003717AE">
        <w:t>s</w:t>
      </w:r>
      <w:r>
        <w:t xml:space="preserve"> exercício</w:t>
      </w:r>
      <w:r w:rsidR="003717AE">
        <w:t>s</w:t>
      </w:r>
      <w:r>
        <w:t xml:space="preserve"> fisca</w:t>
      </w:r>
      <w:r w:rsidR="003717AE">
        <w:t>is</w:t>
      </w:r>
      <w:r>
        <w:t xml:space="preserve"> de e</w:t>
      </w:r>
      <w:r w:rsidR="003278C4">
        <w:t>ficácia da matéria nela tratada, podendo o Relator</w:t>
      </w:r>
      <w:r w:rsidR="000A00AF">
        <w:t xml:space="preserve">, a fim de subsidiar o seu relatório, </w:t>
      </w:r>
      <w:r w:rsidR="003278C4">
        <w:t>requerer</w:t>
      </w:r>
      <w:r w:rsidR="00F3581A">
        <w:t>,</w:t>
      </w:r>
      <w:r w:rsidR="003278C4">
        <w:t xml:space="preserve"> ao órgão do Senado Federal a que se refere o § </w:t>
      </w:r>
      <w:r w:rsidR="002B7D98">
        <w:t>6</w:t>
      </w:r>
      <w:r w:rsidR="003278C4">
        <w:t>º</w:t>
      </w:r>
      <w:r w:rsidR="00F3581A">
        <w:t>,</w:t>
      </w:r>
      <w:r w:rsidR="004E17E5">
        <w:t xml:space="preserve"> a elaboração de nota técnica quanto à compatibilidade e adequação orçamentária e financeira</w:t>
      </w:r>
      <w:r w:rsidR="005C65B2">
        <w:t xml:space="preserve"> da </w:t>
      </w:r>
      <w:r w:rsidR="0068486A">
        <w:t>matéria.</w:t>
      </w:r>
      <w:r w:rsidR="005C65B2">
        <w:t xml:space="preserve"> </w:t>
      </w:r>
    </w:p>
    <w:p w14:paraId="4ED48547" w14:textId="375B2144" w:rsidR="00352BC2" w:rsidRDefault="00352BC2" w:rsidP="002B7D98">
      <w:pPr>
        <w:pStyle w:val="08-Citaolegal-ltimalinha-CLG"/>
        <w:spacing w:after="120"/>
      </w:pPr>
      <w:r>
        <w:t xml:space="preserve">§ </w:t>
      </w:r>
      <w:r w:rsidR="00023CEE">
        <w:t>8</w:t>
      </w:r>
      <w:r>
        <w:t xml:space="preserve">º A Comissão manterá atualizada, na página do Senado Federal na internet, a relação das proposições aprovadas </w:t>
      </w:r>
      <w:r w:rsidR="00023CEE">
        <w:t xml:space="preserve">que </w:t>
      </w:r>
      <w:r>
        <w:t>geram aumento na despesa obrigatória ou redução na receita, explicitando os respectivos valores por exercício de eficácia e indicando</w:t>
      </w:r>
      <w:r w:rsidR="00080E21">
        <w:t>, caso cabíveis,</w:t>
      </w:r>
      <w:r>
        <w:t xml:space="preserve"> as correspondentes fontes de compensação</w:t>
      </w:r>
      <w:r w:rsidR="00080E21">
        <w:t>.</w:t>
      </w:r>
    </w:p>
    <w:p w14:paraId="0C423757" w14:textId="3E18122F" w:rsidR="002B7D98" w:rsidRDefault="002B7D98" w:rsidP="002B7D98">
      <w:pPr>
        <w:pStyle w:val="08-Citaolegal-ltimalinha-CLG"/>
        <w:spacing w:after="240"/>
      </w:pPr>
      <w:r w:rsidRPr="002B7D98">
        <w:t>§</w:t>
      </w:r>
      <w:r w:rsidR="00E501D2">
        <w:t xml:space="preserve"> </w:t>
      </w:r>
      <w:r w:rsidRPr="002B7D98">
        <w:t xml:space="preserve">9º Quando a </w:t>
      </w:r>
      <w:r w:rsidR="002A3F6D">
        <w:t>Comissão</w:t>
      </w:r>
      <w:r w:rsidRPr="002B7D98">
        <w:t xml:space="preserve"> emitir parecer pela inadequação orçamentária e financeira de qualquer proposição, será esta considerada rejeitada e arquivada definitivamente, salvo recurso interposto nos termos do art. 254 do Regimento Interno do Senado Federal.” (NR)</w:t>
      </w:r>
    </w:p>
    <w:p w14:paraId="4A09DFB7" w14:textId="77777777" w:rsidR="00352BC2" w:rsidRDefault="00C13F0D" w:rsidP="00352BC2">
      <w:pPr>
        <w:pStyle w:val="07-Citaolegal-CLG"/>
      </w:pPr>
      <w:r>
        <w:t>“</w:t>
      </w:r>
      <w:r w:rsidRPr="00426056">
        <w:rPr>
          <w:b/>
        </w:rPr>
        <w:t>Art. 118.</w:t>
      </w:r>
      <w:r>
        <w:t xml:space="preserve"> ..................................</w:t>
      </w:r>
    </w:p>
    <w:p w14:paraId="77D85109" w14:textId="77777777" w:rsidR="00352BC2" w:rsidRDefault="00C13F0D" w:rsidP="00352BC2">
      <w:pPr>
        <w:pStyle w:val="07-Citaolegal-CLG"/>
      </w:pPr>
      <w:r>
        <w:lastRenderedPageBreak/>
        <w:t>...................................................</w:t>
      </w:r>
    </w:p>
    <w:p w14:paraId="40A9B324" w14:textId="3C7E5ECE" w:rsidR="00C13F0D" w:rsidRDefault="00C13F0D" w:rsidP="00352BC2">
      <w:pPr>
        <w:pStyle w:val="07-Citaolegal-CLG"/>
      </w:pPr>
      <w:r>
        <w:t xml:space="preserve">§ 4º Será suspenso o prazo da comissão durante o período necessário ao cumprimento das disposições previstas no art. 90, II, III, V e XIII, </w:t>
      </w:r>
      <w:r w:rsidR="00F00C14">
        <w:t xml:space="preserve">bem como </w:t>
      </w:r>
      <w:r>
        <w:t xml:space="preserve">até que as informações referidas no § </w:t>
      </w:r>
      <w:r w:rsidR="006A0ED5">
        <w:t>6</w:t>
      </w:r>
      <w:r>
        <w:t xml:space="preserve">º </w:t>
      </w:r>
      <w:r w:rsidR="00C1739D">
        <w:t>do art. 99 este</w:t>
      </w:r>
      <w:r w:rsidR="00C1739D" w:rsidRPr="00C1739D">
        <w:t xml:space="preserve">jam atualizadas e </w:t>
      </w:r>
      <w:r w:rsidR="00C1739D">
        <w:t xml:space="preserve">possibilitem </w:t>
      </w:r>
      <w:r w:rsidR="00082F38">
        <w:t>a</w:t>
      </w:r>
      <w:r w:rsidR="00C1739D" w:rsidRPr="00C1739D">
        <w:t xml:space="preserve"> </w:t>
      </w:r>
      <w:r w:rsidR="003C453F">
        <w:t xml:space="preserve">conclusão da </w:t>
      </w:r>
      <w:r w:rsidR="00082F38">
        <w:t>avaliação d</w:t>
      </w:r>
      <w:r w:rsidR="00C1739D" w:rsidRPr="00C1739D">
        <w:t>a compatibilidade e adequação</w:t>
      </w:r>
      <w:r w:rsidR="00082F38">
        <w:t xml:space="preserve"> orçamentária e financeira</w:t>
      </w:r>
      <w:r w:rsidR="00300EA3">
        <w:t>.</w:t>
      </w:r>
    </w:p>
    <w:p w14:paraId="494A4312" w14:textId="77777777" w:rsidR="00C13F0D" w:rsidRDefault="00C13F0D" w:rsidP="00FF1F81">
      <w:pPr>
        <w:pStyle w:val="08-Citaolegal-ltimalinha-CLG"/>
      </w:pPr>
      <w:r>
        <w:t>......................................</w:t>
      </w:r>
      <w:r w:rsidR="00082F38">
        <w:t>.</w:t>
      </w:r>
      <w:r>
        <w:t>..</w:t>
      </w:r>
      <w:r w:rsidR="00082F38">
        <w:t>”</w:t>
      </w:r>
      <w:r w:rsidR="00300EA3">
        <w:t xml:space="preserve"> </w:t>
      </w:r>
      <w:r w:rsidR="00082F38">
        <w:t>(NR)</w:t>
      </w:r>
    </w:p>
    <w:p w14:paraId="40FBDEF5" w14:textId="77777777" w:rsidR="00FF1F81" w:rsidRDefault="000E2105" w:rsidP="00352BC2">
      <w:pPr>
        <w:pStyle w:val="07-Citaolegal-CLG"/>
      </w:pPr>
      <w:r>
        <w:t>“</w:t>
      </w:r>
      <w:r w:rsidR="00FF1F81" w:rsidRPr="000E2105">
        <w:rPr>
          <w:b/>
        </w:rPr>
        <w:t>A</w:t>
      </w:r>
      <w:r w:rsidRPr="000E2105">
        <w:rPr>
          <w:b/>
        </w:rPr>
        <w:t>rt. 125.</w:t>
      </w:r>
      <w:r>
        <w:t xml:space="preserve"> ..................................</w:t>
      </w:r>
    </w:p>
    <w:p w14:paraId="19A5398B" w14:textId="77777777" w:rsidR="000E2105" w:rsidRDefault="00794E18" w:rsidP="00794E18">
      <w:pPr>
        <w:pStyle w:val="08-Citaolegal-ltimalinha-CLG"/>
      </w:pPr>
      <w:r w:rsidRPr="00794E18">
        <w:t>Parágrafo único.</w:t>
      </w:r>
      <w:r w:rsidR="006D4F10">
        <w:t xml:space="preserve"> É</w:t>
      </w:r>
      <w:r w:rsidRPr="00794E18">
        <w:t xml:space="preserve"> indispensável a manifestação do relator sobre a compatibilidade e adequação orçamentária e financeira da proposição</w:t>
      </w:r>
      <w:r>
        <w:t xml:space="preserve"> e respectivas emendas </w:t>
      </w:r>
      <w:r w:rsidR="003173C6">
        <w:t xml:space="preserve">e subemendas </w:t>
      </w:r>
      <w:r>
        <w:t>ou, se houver, do seu substitutivo</w:t>
      </w:r>
      <w:r w:rsidR="006D4F10">
        <w:t>, quando, direta ou indiretamente, houver a previsão de criação ou aumento de despesa obrigatória ou de renúncia de receita</w:t>
      </w:r>
      <w:r w:rsidR="00F57823">
        <w:t>.</w:t>
      </w:r>
      <w:r>
        <w:t>” (NR)</w:t>
      </w:r>
    </w:p>
    <w:p w14:paraId="729D497B" w14:textId="77777777" w:rsidR="00E40F1F" w:rsidRDefault="00794E18" w:rsidP="00E40F1F">
      <w:pPr>
        <w:pStyle w:val="07-Citaolegal-CLG"/>
      </w:pPr>
      <w:r>
        <w:t>“</w:t>
      </w:r>
      <w:r w:rsidRPr="00794E18">
        <w:rPr>
          <w:b/>
        </w:rPr>
        <w:t>Art. 140.</w:t>
      </w:r>
      <w:r w:rsidR="00E40F1F">
        <w:t xml:space="preserve"> ..................................</w:t>
      </w:r>
    </w:p>
    <w:p w14:paraId="1718F889" w14:textId="77777777" w:rsidR="00E40F1F" w:rsidRDefault="00E40F1F" w:rsidP="00E40F1F">
      <w:pPr>
        <w:pStyle w:val="07-Citaolegal-CLG"/>
      </w:pPr>
      <w:r>
        <w:t>...................................................</w:t>
      </w:r>
    </w:p>
    <w:p w14:paraId="34035532" w14:textId="6B7E4FF3" w:rsidR="00794E18" w:rsidRDefault="00E40F1F" w:rsidP="00C31182">
      <w:pPr>
        <w:pStyle w:val="08-Citaolegal-ltimalinha-CLG"/>
      </w:pPr>
      <w:r>
        <w:lastRenderedPageBreak/>
        <w:t xml:space="preserve">§ 3º </w:t>
      </w:r>
      <w:r w:rsidR="00C6574B" w:rsidRPr="00C6574B">
        <w:t>O relator, quando se tratar de matéria que proponha, direta ou indiretamente,</w:t>
      </w:r>
      <w:r w:rsidR="00C6574B">
        <w:t xml:space="preserve"> a</w:t>
      </w:r>
      <w:r w:rsidR="00C6574B" w:rsidRPr="00C6574B">
        <w:t xml:space="preserve"> criação ou </w:t>
      </w:r>
      <w:r w:rsidR="00C6574B">
        <w:t xml:space="preserve">o </w:t>
      </w:r>
      <w:r w:rsidR="00C6574B" w:rsidRPr="00C6574B">
        <w:t>aumento de despesa obrigatória ou renúncia de receita, deverá se pronunciar sobre a compatibilidade e adequação orçamentária e financeira da propos</w:t>
      </w:r>
      <w:r w:rsidR="00C747D9">
        <w:t>ição</w:t>
      </w:r>
      <w:r w:rsidR="00C6574B">
        <w:t>.” (NR)</w:t>
      </w:r>
    </w:p>
    <w:p w14:paraId="019ED9F3" w14:textId="62CB10B7" w:rsidR="001B15EB" w:rsidRDefault="00E501D2" w:rsidP="006D040C">
      <w:pPr>
        <w:pStyle w:val="07-Citaolegal-CLG"/>
      </w:pPr>
      <w:r w:rsidDel="00E501D2">
        <w:t xml:space="preserve"> </w:t>
      </w:r>
      <w:r w:rsidR="001B15EB">
        <w:t>“</w:t>
      </w:r>
      <w:r w:rsidR="001B15EB" w:rsidRPr="001B15EB">
        <w:rPr>
          <w:b/>
        </w:rPr>
        <w:t>Art. 167.</w:t>
      </w:r>
      <w:r w:rsidR="001B15EB">
        <w:t xml:space="preserve"> </w:t>
      </w:r>
      <w:r w:rsidR="001B15EB" w:rsidRPr="008B78AA">
        <w:t>..................................</w:t>
      </w:r>
    </w:p>
    <w:p w14:paraId="461BE0C5" w14:textId="77777777" w:rsidR="004B20DB" w:rsidRDefault="001B15EB" w:rsidP="00474671">
      <w:pPr>
        <w:pStyle w:val="07-Citaolegal-CLG"/>
      </w:pPr>
      <w:r w:rsidRPr="001B15EB">
        <w:rPr>
          <w:i/>
        </w:rPr>
        <w:t>Parágrafo único</w:t>
      </w:r>
      <w:r>
        <w:t>.</w:t>
      </w:r>
      <w:r w:rsidRPr="001B15EB">
        <w:t xml:space="preserve"> </w:t>
      </w:r>
      <w:r>
        <w:t>Nenhuma matéria poderá ser incluída na Ordem do Dia sem que</w:t>
      </w:r>
      <w:r w:rsidR="004B20DB">
        <w:t>:</w:t>
      </w:r>
    </w:p>
    <w:p w14:paraId="368AC6D3" w14:textId="0242F095" w:rsidR="004B20DB" w:rsidRDefault="004B20DB" w:rsidP="00474671">
      <w:pPr>
        <w:pStyle w:val="07-Citaolegal-CLG"/>
      </w:pPr>
      <w:r w:rsidRPr="006D040C">
        <w:t xml:space="preserve">I </w:t>
      </w:r>
      <w:r>
        <w:t xml:space="preserve">– </w:t>
      </w:r>
      <w:proofErr w:type="gramStart"/>
      <w:r w:rsidR="001B15EB">
        <w:t>tenha</w:t>
      </w:r>
      <w:proofErr w:type="gramEnd"/>
      <w:r w:rsidR="001B15EB">
        <w:t xml:space="preserve"> sido efetivamente publicada no </w:t>
      </w:r>
      <w:r w:rsidR="001B15EB" w:rsidRPr="001B15EB">
        <w:rPr>
          <w:i/>
        </w:rPr>
        <w:t>Diário do Senado Federal</w:t>
      </w:r>
      <w:r w:rsidR="001B15EB">
        <w:t xml:space="preserve"> e em avulso eletrônico</w:t>
      </w:r>
      <w:r w:rsidR="008C4CCF">
        <w:t xml:space="preserve"> com</w:t>
      </w:r>
      <w:r w:rsidR="001B15EB">
        <w:t>, no mínimo, dez dias de antecedência</w:t>
      </w:r>
      <w:r>
        <w:t>;</w:t>
      </w:r>
      <w:r w:rsidR="001B15EB">
        <w:t xml:space="preserve"> </w:t>
      </w:r>
    </w:p>
    <w:p w14:paraId="04FA691E" w14:textId="5AA55153" w:rsidR="001B15EB" w:rsidRDefault="004B20DB" w:rsidP="006D040C">
      <w:pPr>
        <w:pStyle w:val="08-Citaolegal-ltimalinha-CLG"/>
      </w:pPr>
      <w:r>
        <w:t>II – a Comissão de Assuntos Econômicos</w:t>
      </w:r>
      <w:r w:rsidR="008C1732">
        <w:t xml:space="preserve"> </w:t>
      </w:r>
      <w:r w:rsidR="008C1732" w:rsidRPr="008C1732">
        <w:t>ou, em se tratando de Proposta de Emenda à Constituição, a C</w:t>
      </w:r>
      <w:r w:rsidR="008C1732">
        <w:t>omissão de Constituição, Justiça e Cidadania</w:t>
      </w:r>
      <w:r w:rsidR="008C1732" w:rsidRPr="008C1732">
        <w:t>,</w:t>
      </w:r>
      <w:r>
        <w:t xml:space="preserve"> tenha deliberado sobre a compatibilidade e adequação orçamentária e financeira, quando a proposta implicar</w:t>
      </w:r>
      <w:r w:rsidR="008C4CCF">
        <w:t>, direta ou indireta</w:t>
      </w:r>
      <w:r>
        <w:t>mente</w:t>
      </w:r>
      <w:r w:rsidR="008C4CCF">
        <w:t xml:space="preserve">, </w:t>
      </w:r>
      <w:r w:rsidR="001B15EB" w:rsidRPr="001B15EB">
        <w:t xml:space="preserve">criação ou aumento de despesa </w:t>
      </w:r>
      <w:r w:rsidR="00E140A7">
        <w:t xml:space="preserve">obrigatória </w:t>
      </w:r>
      <w:r w:rsidR="001B15EB" w:rsidRPr="001B15EB">
        <w:t xml:space="preserve">ou renúncia de receita, salvo no caso de parecer a ser proferido em </w:t>
      </w:r>
      <w:proofErr w:type="gramStart"/>
      <w:r w:rsidR="001B15EB" w:rsidRPr="001B15EB">
        <w:t>Plenário</w:t>
      </w:r>
      <w:r w:rsidR="001B15EB">
        <w:t>.”</w:t>
      </w:r>
      <w:proofErr w:type="gramEnd"/>
      <w:r w:rsidR="001B15EB">
        <w:t xml:space="preserve"> (NR)</w:t>
      </w:r>
    </w:p>
    <w:p w14:paraId="159F5CEC" w14:textId="77777777" w:rsidR="008B78AA" w:rsidRDefault="008B78AA" w:rsidP="00FC490B">
      <w:pPr>
        <w:pStyle w:val="07-Citaolegal-CLG"/>
      </w:pPr>
      <w:r>
        <w:t>“</w:t>
      </w:r>
      <w:r w:rsidRPr="008B78AA">
        <w:rPr>
          <w:b/>
        </w:rPr>
        <w:t>Art. 215.</w:t>
      </w:r>
      <w:r w:rsidRPr="008B78AA">
        <w:t xml:space="preserve"> ..................................</w:t>
      </w:r>
    </w:p>
    <w:p w14:paraId="1DBC85FB" w14:textId="77777777" w:rsidR="008B78AA" w:rsidRDefault="008B78AA" w:rsidP="00FC490B">
      <w:pPr>
        <w:pStyle w:val="07-Citaolegal-CLG"/>
      </w:pPr>
      <w:r w:rsidRPr="008B78AA">
        <w:t>...................................................</w:t>
      </w:r>
      <w:r>
        <w:t>.</w:t>
      </w:r>
    </w:p>
    <w:p w14:paraId="646CA328" w14:textId="77777777" w:rsidR="008B78AA" w:rsidRDefault="008B78AA" w:rsidP="00FC490B">
      <w:pPr>
        <w:pStyle w:val="07-Citaolegal-CLG"/>
      </w:pPr>
      <w:r>
        <w:lastRenderedPageBreak/>
        <w:t>II – .............................................</w:t>
      </w:r>
    </w:p>
    <w:p w14:paraId="36BC1F7B" w14:textId="77777777" w:rsidR="008B78AA" w:rsidRDefault="008B78AA" w:rsidP="00FC490B">
      <w:pPr>
        <w:pStyle w:val="07-Citaolegal-CLG"/>
      </w:pPr>
      <w:r>
        <w:t>....................................................</w:t>
      </w:r>
    </w:p>
    <w:p w14:paraId="6A108560" w14:textId="5172A6EB" w:rsidR="008B78AA" w:rsidRDefault="008B78AA" w:rsidP="00FC490B">
      <w:pPr>
        <w:pStyle w:val="07-Citaolegal-CLG"/>
      </w:pPr>
      <w:r>
        <w:t xml:space="preserve">g) </w:t>
      </w:r>
      <w:r w:rsidRPr="008B78AA">
        <w:t>de suspensão, por vinte dias, da tramitação de proposição para análise da sua compatibilidade e adequação orçamentária e financeira</w:t>
      </w:r>
      <w:r>
        <w:t>.</w:t>
      </w:r>
    </w:p>
    <w:p w14:paraId="16D9AFF6" w14:textId="77777777" w:rsidR="004B62A8" w:rsidRDefault="004B62A8" w:rsidP="00E7064A">
      <w:pPr>
        <w:pStyle w:val="08-Citaolegal-ltimalinha-CLG"/>
      </w:pPr>
      <w:r>
        <w:t>..............</w:t>
      </w:r>
      <w:r w:rsidR="001B15EB">
        <w:t>...........................</w:t>
      </w:r>
      <w:r>
        <w:t>.” (NR)</w:t>
      </w:r>
    </w:p>
    <w:p w14:paraId="1177AF99" w14:textId="342A4A8F" w:rsidR="006A0ED5" w:rsidRDefault="002B0983" w:rsidP="006A0ED5">
      <w:pPr>
        <w:pStyle w:val="07-Citaolegal-CLG"/>
        <w:ind w:firstLine="0"/>
        <w:jc w:val="center"/>
      </w:pPr>
      <w:r>
        <w:t>“</w:t>
      </w:r>
      <w:r w:rsidR="006A0ED5">
        <w:t>Subseção V</w:t>
      </w:r>
    </w:p>
    <w:p w14:paraId="37983974" w14:textId="10F1E71F" w:rsidR="006A0ED5" w:rsidRDefault="006A0ED5" w:rsidP="006A0ED5">
      <w:pPr>
        <w:pStyle w:val="07-Citaolegal-CLG"/>
        <w:ind w:firstLine="0"/>
        <w:jc w:val="center"/>
      </w:pPr>
      <w:r>
        <w:t>Dos Requerimentos de Suspensão para Análise de Compatibilidade com o Novo Regime Fiscal</w:t>
      </w:r>
    </w:p>
    <w:p w14:paraId="65E0EBCF" w14:textId="5707D47C" w:rsidR="006A0ED5" w:rsidRDefault="006A0ED5" w:rsidP="00E501D2">
      <w:pPr>
        <w:pStyle w:val="07-Citaolegal-CLG"/>
      </w:pPr>
      <w:r>
        <w:t>Art. 223-A requerimento escrito de um quinto dos membros do Senado, será suspensa por até 20 (vinte) dias, independentemente de votação, a tramitação de proposição, ressalvada a referida no art. 59, inciso V, da Constituição Federal, da qual possa resultar criação ou aumento de despesa obrigatória ou renúncia de receita, para análise de sua compatibilidade e adequação orçamentária e financeira pela C</w:t>
      </w:r>
      <w:r w:rsidR="00E501D2">
        <w:t xml:space="preserve">omissão de </w:t>
      </w:r>
      <w:r>
        <w:t>A</w:t>
      </w:r>
      <w:r w:rsidR="00E501D2">
        <w:t xml:space="preserve">ssuntos </w:t>
      </w:r>
      <w:r>
        <w:t>E</w:t>
      </w:r>
      <w:r w:rsidR="00E501D2">
        <w:t>conômicos</w:t>
      </w:r>
      <w:r>
        <w:t xml:space="preserve"> ou, em se tratando de PEC, pela C</w:t>
      </w:r>
      <w:r w:rsidR="00E501D2">
        <w:t xml:space="preserve">omissão de </w:t>
      </w:r>
      <w:r w:rsidR="00962894">
        <w:t>Constituição</w:t>
      </w:r>
      <w:r w:rsidR="00E501D2">
        <w:t xml:space="preserve">, </w:t>
      </w:r>
      <w:r>
        <w:t>J</w:t>
      </w:r>
      <w:r w:rsidR="00E501D2">
        <w:t>ustiça e Cidadania</w:t>
      </w:r>
      <w:r>
        <w:t>.</w:t>
      </w:r>
    </w:p>
    <w:p w14:paraId="00C347C8" w14:textId="77777777" w:rsidR="006A0ED5" w:rsidRDefault="006A0ED5" w:rsidP="006A0ED5">
      <w:pPr>
        <w:pStyle w:val="07-Citaolegal-CLG"/>
      </w:pPr>
      <w:r>
        <w:t xml:space="preserve">§ 1º O disposto no caput não se aplica caso já tenha sido analisada a compatibilidade e adequação orçamentária e financeira da matéria e, após essa análise, não </w:t>
      </w:r>
      <w:r>
        <w:lastRenderedPageBreak/>
        <w:t xml:space="preserve">houver emenda com parecer favorável ou outro tipo de alteração posterior que implique aumento de despesa obrigatória ou renúncia de receita. </w:t>
      </w:r>
    </w:p>
    <w:p w14:paraId="5EA5867E" w14:textId="77777777" w:rsidR="006A0ED5" w:rsidRDefault="006A0ED5" w:rsidP="006A0ED5">
      <w:pPr>
        <w:pStyle w:val="07-Citaolegal-CLG"/>
      </w:pPr>
      <w:r>
        <w:t>§2º O prazo a que se refere o caput contar-se-á a partir do dia útil subsequente à leitura do requerimento em plenário;</w:t>
      </w:r>
    </w:p>
    <w:p w14:paraId="0F256A84" w14:textId="77777777" w:rsidR="006A0ED5" w:rsidRDefault="006A0ED5" w:rsidP="006A0ED5">
      <w:pPr>
        <w:pStyle w:val="07-Citaolegal-CLG"/>
      </w:pPr>
      <w:r>
        <w:t>§3º A análise da compatibilidade de que trata o caput, em todas as ocasiões em que o requerimento for formulado e produzir efeitos, deve obedecer aos critérios constantes no art. 99, §4º.</w:t>
      </w:r>
    </w:p>
    <w:p w14:paraId="2974079F" w14:textId="77777777" w:rsidR="006A0ED5" w:rsidRDefault="006A0ED5" w:rsidP="006A0ED5">
      <w:pPr>
        <w:pStyle w:val="07-Citaolegal-CLG"/>
      </w:pPr>
      <w:r>
        <w:t xml:space="preserve">§4º Caberá ao relator da matéria proceder à análise de que trata o art. 99 §7º. </w:t>
      </w:r>
    </w:p>
    <w:p w14:paraId="547AFF5F" w14:textId="77777777" w:rsidR="006A0ED5" w:rsidRDefault="006A0ED5" w:rsidP="006A0ED5">
      <w:pPr>
        <w:pStyle w:val="07-Citaolegal-CLG"/>
      </w:pPr>
      <w:r>
        <w:t>Art. 223-B O requerimento de que trata o art. 223-A somente poderá ser apresentado quando a proposição estiver em condições de figurar na:</w:t>
      </w:r>
    </w:p>
    <w:p w14:paraId="0DA3BA54" w14:textId="77777777" w:rsidR="006A0ED5" w:rsidRDefault="006A0ED5" w:rsidP="006A0ED5">
      <w:pPr>
        <w:pStyle w:val="07-Citaolegal-CLG"/>
      </w:pPr>
      <w:r>
        <w:t>I – Ordem do Dia; ou</w:t>
      </w:r>
    </w:p>
    <w:p w14:paraId="1393ADB3" w14:textId="0670D274" w:rsidR="006A0ED5" w:rsidRDefault="006A0ED5" w:rsidP="00C747D9">
      <w:pPr>
        <w:pStyle w:val="07-Citaolegal-CLG"/>
        <w:spacing w:after="480"/>
      </w:pPr>
      <w:r>
        <w:t>II – Pauta da Comissão, no caso de matéria sujeita a decisão terminativa, nos termos do art. 91 do Regimento Interno do Senado Federal.</w:t>
      </w:r>
      <w:r w:rsidR="002B0983">
        <w:t>”</w:t>
      </w:r>
    </w:p>
    <w:p w14:paraId="36A1C4B6" w14:textId="792EF9AB" w:rsidR="006A0ED5" w:rsidRDefault="00C747D9" w:rsidP="00FC490B">
      <w:pPr>
        <w:pStyle w:val="07-Citaolegal-CLG"/>
      </w:pPr>
      <w:r w:rsidRPr="00C747D9">
        <w:rPr>
          <w:b/>
        </w:rPr>
        <w:t>“Art. 346.</w:t>
      </w:r>
      <w:r>
        <w:t xml:space="preserve"> ..................................</w:t>
      </w:r>
    </w:p>
    <w:p w14:paraId="1A2D0178" w14:textId="61921360" w:rsidR="00C747D9" w:rsidRDefault="00C747D9" w:rsidP="00FC490B">
      <w:pPr>
        <w:pStyle w:val="07-Citaolegal-CLG"/>
      </w:pPr>
      <w:r>
        <w:t>.....................................................</w:t>
      </w:r>
    </w:p>
    <w:p w14:paraId="7BAE4C44" w14:textId="5B2955DC" w:rsidR="00C747D9" w:rsidRDefault="00C747D9" w:rsidP="00C747D9">
      <w:pPr>
        <w:pStyle w:val="07-Citaolegal-CLG"/>
        <w:spacing w:after="480"/>
      </w:pPr>
      <w:r>
        <w:t>§3º Q</w:t>
      </w:r>
      <w:r w:rsidRPr="00C747D9">
        <w:t xml:space="preserve">uando se tratar de matéria que proponha, direta ou indiretamente, a criação ou o aumento de despesa obrigatória ou renúncia de receita, </w:t>
      </w:r>
      <w:r>
        <w:t xml:space="preserve">o parecer deverá </w:t>
      </w:r>
      <w:r>
        <w:lastRenderedPageBreak/>
        <w:t>conter manifestação</w:t>
      </w:r>
      <w:r w:rsidRPr="00C747D9">
        <w:t xml:space="preserve"> sobre a compatibilidade e adequação orçamentária e financeira da propos</w:t>
      </w:r>
      <w:r>
        <w:t>ição</w:t>
      </w:r>
      <w:r w:rsidRPr="00C747D9">
        <w:t>. ” (NR)</w:t>
      </w:r>
    </w:p>
    <w:p w14:paraId="38401C0D" w14:textId="75C8E262" w:rsidR="00E7064A" w:rsidRDefault="00E7064A" w:rsidP="00FC490B">
      <w:pPr>
        <w:pStyle w:val="07-Citaolegal-CLG"/>
      </w:pPr>
      <w:r>
        <w:t>“</w:t>
      </w:r>
      <w:r w:rsidR="00A24DAB" w:rsidRPr="00E7064A">
        <w:rPr>
          <w:b/>
        </w:rPr>
        <w:t>A</w:t>
      </w:r>
      <w:r w:rsidRPr="00E7064A">
        <w:rPr>
          <w:b/>
        </w:rPr>
        <w:t>rt. 356.</w:t>
      </w:r>
      <w:r>
        <w:t xml:space="preserve"> </w:t>
      </w:r>
      <w:r w:rsidRPr="008B78AA">
        <w:t>..................................</w:t>
      </w:r>
    </w:p>
    <w:p w14:paraId="0E80F498" w14:textId="77777777" w:rsidR="00E7064A" w:rsidRDefault="00E7064A" w:rsidP="00FC490B">
      <w:pPr>
        <w:pStyle w:val="07-Citaolegal-CLG"/>
      </w:pPr>
      <w:r>
        <w:t>§ 1º .</w:t>
      </w:r>
      <w:r w:rsidRPr="008B78AA">
        <w:t>...........................................</w:t>
      </w:r>
      <w:r>
        <w:t>.</w:t>
      </w:r>
    </w:p>
    <w:p w14:paraId="375AE731" w14:textId="55E0DBD5" w:rsidR="00355F9C" w:rsidRDefault="00E7064A" w:rsidP="00355F9C">
      <w:pPr>
        <w:pStyle w:val="08-Citaolegal-ltimalinha-CLG"/>
        <w:spacing w:after="120"/>
      </w:pPr>
      <w:r>
        <w:t xml:space="preserve">§ 2º </w:t>
      </w:r>
      <w:r w:rsidR="00C96089">
        <w:t>O</w:t>
      </w:r>
      <w:r w:rsidRPr="00E7064A">
        <w:t xml:space="preserve"> parecer </w:t>
      </w:r>
      <w:r>
        <w:t>da Comissão de Constituição, Justiça e Cidadania</w:t>
      </w:r>
      <w:r w:rsidR="00C96089">
        <w:t xml:space="preserve"> analisará necessariamente, em tópico específico, a compatibilidade e adequação orçamentária e financeira da propos</w:t>
      </w:r>
      <w:r w:rsidR="00C747D9">
        <w:t>ta</w:t>
      </w:r>
      <w:r w:rsidR="00C96089">
        <w:t xml:space="preserve"> e respectivas emendas e subemendas ou, se houver, do seu substitutivo para os exercícios fiscais de eficácia da matéria nela tratada, podendo o Relator, a fim de subsidiar o seu relatório, requerer, à Consultoria de Orçamentos, Fiscalização e Controle do Senado Federal, a elaboração de nota técnica quanto à compatibilidade e adequação orçamentária e financeira da matéria.</w:t>
      </w:r>
    </w:p>
    <w:p w14:paraId="33D4DDFA" w14:textId="626F761B" w:rsidR="00C96089" w:rsidRDefault="00355F9C" w:rsidP="00E7064A">
      <w:pPr>
        <w:pStyle w:val="08-Citaolegal-ltimalinha-CLG"/>
      </w:pPr>
      <w:r>
        <w:t xml:space="preserve">§3º </w:t>
      </w:r>
      <w:r w:rsidRPr="00355F9C">
        <w:t xml:space="preserve">Quando a </w:t>
      </w:r>
      <w:r w:rsidR="002A3F6D">
        <w:t>Comissão de Constituição, Justiça e Cidadania</w:t>
      </w:r>
      <w:r w:rsidRPr="00355F9C">
        <w:t xml:space="preserve"> emitir parecer pela incompatibilidade e inadequação orçamentária e financeira da propos</w:t>
      </w:r>
      <w:r>
        <w:t>ta</w:t>
      </w:r>
      <w:r w:rsidRPr="00355F9C">
        <w:t>, será esta considerada rejeitada e arquivada definitivamente, salvo recurso interposto nos termos do art. 254 do Regimento Interno do Senado Federal.</w:t>
      </w:r>
      <w:r w:rsidR="00C96089">
        <w:t>” (NR)</w:t>
      </w:r>
      <w:r w:rsidR="00E7064A" w:rsidRPr="00E7064A">
        <w:t xml:space="preserve"> </w:t>
      </w:r>
    </w:p>
    <w:p w14:paraId="50C5FBAA" w14:textId="458D713F" w:rsidR="00E140A7" w:rsidRDefault="00C96089" w:rsidP="00FC490B">
      <w:pPr>
        <w:pStyle w:val="07-Citaolegal-CLG"/>
      </w:pPr>
      <w:r>
        <w:t xml:space="preserve"> </w:t>
      </w:r>
      <w:r w:rsidR="00E140A7">
        <w:t>“</w:t>
      </w:r>
      <w:r w:rsidR="00E140A7" w:rsidRPr="00E140A7">
        <w:rPr>
          <w:b/>
        </w:rPr>
        <w:t>Art. 358.</w:t>
      </w:r>
      <w:r w:rsidR="00E140A7">
        <w:t xml:space="preserve"> </w:t>
      </w:r>
      <w:r>
        <w:t>.................................</w:t>
      </w:r>
    </w:p>
    <w:p w14:paraId="5D6EEE74" w14:textId="2013D170" w:rsidR="0053713B" w:rsidRPr="0053713B" w:rsidRDefault="0053713B" w:rsidP="0053713B">
      <w:pPr>
        <w:pStyle w:val="07-Citaolegal-CLG"/>
      </w:pPr>
      <w:r w:rsidRPr="0053713B">
        <w:t>....................................................</w:t>
      </w:r>
    </w:p>
    <w:p w14:paraId="565495B4" w14:textId="58A66B0C" w:rsidR="00A13151" w:rsidRDefault="0053713B" w:rsidP="00336CDB">
      <w:pPr>
        <w:pStyle w:val="08-Citaolegal-ltimalinha-CLG"/>
      </w:pPr>
      <w:r>
        <w:lastRenderedPageBreak/>
        <w:t xml:space="preserve">§ 3º </w:t>
      </w:r>
      <w:r w:rsidR="00C96089" w:rsidRPr="00C6574B">
        <w:t>O relator, quando se tratar de matéria que proponha, direta ou indiretamente,</w:t>
      </w:r>
      <w:r w:rsidR="00C96089">
        <w:t xml:space="preserve"> a</w:t>
      </w:r>
      <w:r w:rsidR="00C96089" w:rsidRPr="00C6574B">
        <w:t xml:space="preserve"> criação ou </w:t>
      </w:r>
      <w:r w:rsidR="00C96089">
        <w:t xml:space="preserve">o </w:t>
      </w:r>
      <w:r w:rsidR="00C96089" w:rsidRPr="00C6574B">
        <w:t>aumento de despesa obrigatória ou renúncia de receita, deverá se pronunciar sobre a compatibilidade e adequação orçamentária e financeira da proposta</w:t>
      </w:r>
      <w:r w:rsidR="00311B0B">
        <w:t>.</w:t>
      </w:r>
      <w:r w:rsidR="00A13151">
        <w:t>” (NR)</w:t>
      </w:r>
    </w:p>
    <w:p w14:paraId="145BDDCB" w14:textId="60B621F9" w:rsidR="00A24DAB" w:rsidRDefault="00311B0B" w:rsidP="00920283">
      <w:pPr>
        <w:pStyle w:val="08-Citaolegal-ltimalinha-CLG"/>
      </w:pPr>
      <w:r w:rsidDel="00311B0B">
        <w:t xml:space="preserve"> </w:t>
      </w:r>
      <w:r w:rsidR="00A24DAB">
        <w:t>“</w:t>
      </w:r>
      <w:r w:rsidR="00A24DAB" w:rsidRPr="00A24DAB">
        <w:rPr>
          <w:b/>
        </w:rPr>
        <w:t>Art. 412.</w:t>
      </w:r>
      <w:r w:rsidR="00A24DAB">
        <w:t xml:space="preserve"> </w:t>
      </w:r>
      <w:r w:rsidR="00A24DAB" w:rsidRPr="008B78AA">
        <w:t>..................................</w:t>
      </w:r>
    </w:p>
    <w:p w14:paraId="23588093" w14:textId="77777777" w:rsidR="00A24DAB" w:rsidRDefault="00A24DAB" w:rsidP="00A24DAB">
      <w:pPr>
        <w:pStyle w:val="07-Citaolegal-CLG"/>
      </w:pPr>
      <w:r w:rsidRPr="008B78AA">
        <w:t>...................................................</w:t>
      </w:r>
      <w:r>
        <w:t>.</w:t>
      </w:r>
    </w:p>
    <w:p w14:paraId="15495A5A" w14:textId="0A358189" w:rsidR="00A24DAB" w:rsidRDefault="00537E3E" w:rsidP="00A24DAB">
      <w:pPr>
        <w:pStyle w:val="07-Citaolegal-CLG"/>
      </w:pPr>
      <w:r>
        <w:t xml:space="preserve"> </w:t>
      </w:r>
      <w:r w:rsidR="00A24DAB">
        <w:t xml:space="preserve">§ 1º. A exceção a que se refere o inciso III do </w:t>
      </w:r>
      <w:r w:rsidR="00A24DAB" w:rsidRPr="00A24DAB">
        <w:rPr>
          <w:i/>
        </w:rPr>
        <w:t>caput</w:t>
      </w:r>
      <w:r w:rsidR="00A24DAB">
        <w:t xml:space="preserve"> não se aplica para afastar a análise, nos termos deste Regimento, da adequação orçamentária e financeira de qualquer proposição que preveja, direta ou indiretamente, a criação ou aumento de despesa obrigatória ou a renúncia de receita.</w:t>
      </w:r>
    </w:p>
    <w:p w14:paraId="3A1BE518" w14:textId="23B3FBA6" w:rsidR="00A24DAB" w:rsidRDefault="00A24DAB" w:rsidP="00312C22">
      <w:pPr>
        <w:pStyle w:val="08-Citaolegal-ltimalinha-CLG"/>
      </w:pPr>
      <w:r>
        <w:t>§ 2º Nenhuma proposição legislativa poderá ser aprovada quando considerada</w:t>
      </w:r>
      <w:r w:rsidR="002142BA">
        <w:t xml:space="preserve"> </w:t>
      </w:r>
      <w:r>
        <w:t>incompatível orçamentária e financeiramente, considerando-se nula a deliberação que contrariar este preceito.” (NR)</w:t>
      </w:r>
    </w:p>
    <w:p w14:paraId="5B309E9C" w14:textId="77777777" w:rsidR="00E7064A" w:rsidRDefault="00E7064A" w:rsidP="00E7064A">
      <w:pPr>
        <w:pStyle w:val="05-Pargrafodetexto-CLG"/>
      </w:pPr>
      <w:r w:rsidRPr="00E7064A">
        <w:rPr>
          <w:b/>
        </w:rPr>
        <w:t>Art. 2º</w:t>
      </w:r>
      <w:r w:rsidRPr="00501F65">
        <w:t xml:space="preserve"> Esta Resolução entra em vigor na data de sua publicação.</w:t>
      </w:r>
    </w:p>
    <w:p w14:paraId="7341BF27" w14:textId="77777777" w:rsidR="000D5FCB" w:rsidRDefault="000D5FCB" w:rsidP="000D5FCB">
      <w:pPr>
        <w:pStyle w:val="06-Justificao-CLG"/>
      </w:pPr>
      <w:r w:rsidRPr="001F0284">
        <w:lastRenderedPageBreak/>
        <w:t>JUSTIFICAÇÃO</w:t>
      </w:r>
    </w:p>
    <w:p w14:paraId="3C4F3E5E" w14:textId="77777777" w:rsidR="00C43C44" w:rsidRPr="00C43C44" w:rsidRDefault="00C43C44" w:rsidP="00D1683F">
      <w:pPr>
        <w:pStyle w:val="05-Pargrafodetexto-CLG"/>
      </w:pPr>
      <w:r w:rsidRPr="00C43C44">
        <w:t>O Novo Regime Fiscal – NRF</w:t>
      </w:r>
      <w:r w:rsidR="00D1683F">
        <w:t>,</w:t>
      </w:r>
      <w:r w:rsidRPr="00C43C44">
        <w:t xml:space="preserve"> estabelecido pela Emenda Constitucional nº 95, de 16 de dezembro de 2016 (EC 95/2016), exige que as proposições legislativas que criem ou alterem despesa obrigatória ou promovam renúncia de receita devem estar acompanhadas da estimativa do impacto orçamentário e financeiro da medida proposta (art. 113 do Ato das Disposições Constitucionais Transitórias – ADCT). A regra é reforçada pelo disposto no art. 114 do ADCT, segundo o qual a tramitação da proposição será suspensa por vinte dias, a mero requerimento de 1/5 (um quinto) dos Senadores, para análise da compatibilidade da proposição com o NRF. Ficam ressalvadas dessa possibilidade de suspensão apenas as matérias veiculadas por medidas provisórias, claramente porque fundadas na urgência e relevância.</w:t>
      </w:r>
    </w:p>
    <w:p w14:paraId="47187816" w14:textId="77777777" w:rsidR="00C43C44" w:rsidRPr="00C43C44" w:rsidRDefault="00C43C44" w:rsidP="00D1683F">
      <w:pPr>
        <w:pStyle w:val="05-Pargrafodetexto-CLG"/>
      </w:pPr>
      <w:r w:rsidRPr="00C43C44">
        <w:t>Nossa pretensão por meio da presente propos</w:t>
      </w:r>
      <w:r w:rsidR="00D1683F">
        <w:t>ição</w:t>
      </w:r>
      <w:r w:rsidRPr="00C43C44">
        <w:t xml:space="preserve"> é estabelecer, no Regimento Interno do S</w:t>
      </w:r>
      <w:r w:rsidR="00E6695C">
        <w:t xml:space="preserve">enado Federal – RISF (Resolução </w:t>
      </w:r>
      <w:r w:rsidRPr="00C43C44">
        <w:t xml:space="preserve">nº 93, de </w:t>
      </w:r>
      <w:r w:rsidR="00D1683F">
        <w:t xml:space="preserve">27 de novembro de </w:t>
      </w:r>
      <w:r w:rsidRPr="00C43C44">
        <w:t xml:space="preserve">1970), o procedimento de análise das proposições </w:t>
      </w:r>
      <w:r w:rsidR="00E6695C">
        <w:t>que possuem o</w:t>
      </w:r>
      <w:r w:rsidRPr="00C43C44">
        <w:t xml:space="preserve"> viés de aumento de despesa obrigatória ou de diminuição de receita.</w:t>
      </w:r>
    </w:p>
    <w:p w14:paraId="10C3B8F7" w14:textId="77777777" w:rsidR="00C43C44" w:rsidRPr="00C43C44" w:rsidRDefault="00C43C44" w:rsidP="00E6695C">
      <w:pPr>
        <w:pStyle w:val="05-Pargrafodetexto-CLG"/>
      </w:pPr>
      <w:r w:rsidRPr="00C43C44">
        <w:lastRenderedPageBreak/>
        <w:t xml:space="preserve">O NRF não inovou o ordenamento, ao prever a demonstração da estimativa do impacto orçamentário e financeiro de ações que promovam aumento de despesa ou renúncia de receita e ao possibilitar o exame da sua adequação orçamentária e financeira. </w:t>
      </w:r>
    </w:p>
    <w:p w14:paraId="3F9B8E75" w14:textId="77777777" w:rsidR="00C43C44" w:rsidRPr="00C43C44" w:rsidRDefault="00C43C44" w:rsidP="00E6695C">
      <w:pPr>
        <w:pStyle w:val="05-Pargrafodetexto-CLG"/>
      </w:pPr>
      <w:r w:rsidRPr="00C43C44">
        <w:t xml:space="preserve">A Lei de Responsabilidade Fiscal – LRF </w:t>
      </w:r>
      <w:r w:rsidR="00E6695C">
        <w:t xml:space="preserve">– </w:t>
      </w:r>
      <w:r w:rsidRPr="00C43C44">
        <w:t xml:space="preserve">(Lei Complementar nº 101, de </w:t>
      </w:r>
      <w:r w:rsidR="00E6695C">
        <w:t xml:space="preserve">4 de maio de </w:t>
      </w:r>
      <w:r w:rsidRPr="00C43C44">
        <w:t xml:space="preserve">2000) já previa análise semelhante, até mesmo com maior profundidade, estabelecendo inclusive os pré-requisitos que uma proposição legislativa precisa cumprir para se tornar hábil a ser aprovada. Nesse sentido, a LRF dispõe claramente, por meio dos </w:t>
      </w:r>
      <w:proofErr w:type="spellStart"/>
      <w:r w:rsidRPr="00C43C44">
        <w:t>arts</w:t>
      </w:r>
      <w:proofErr w:type="spellEnd"/>
      <w:r w:rsidRPr="00C43C44">
        <w:t>. 14 a 17, que, além do dever de estar acompanhada da estimativa do respectivo impacto: (i) a renúncia de receita somente será possível de ser aprovada se não afetar as metas fiscais ou se houver compensação pelo aumento correspondente de outra receita; e (</w:t>
      </w:r>
      <w:proofErr w:type="spellStart"/>
      <w:r w:rsidRPr="00C43C44">
        <w:t>ii</w:t>
      </w:r>
      <w:proofErr w:type="spellEnd"/>
      <w:r w:rsidRPr="00C43C44">
        <w:t xml:space="preserve">) a criação ou aumento de despesa obrigatória somente pode ser autorizada se não afetar as metas fiscais estabelecidas, devendo seus efeitos serem compensados pelo cancelamento </w:t>
      </w:r>
      <w:r w:rsidR="00E6695C">
        <w:t>permanente de despesa no mesmo montante</w:t>
      </w:r>
      <w:r w:rsidRPr="00C43C44">
        <w:t xml:space="preserve"> ou pelo aumento permanente de receita hábil a financiá-la.</w:t>
      </w:r>
    </w:p>
    <w:p w14:paraId="4DB4F738" w14:textId="77777777" w:rsidR="00C43C44" w:rsidRPr="00C43C44" w:rsidRDefault="00C43C44" w:rsidP="00EE372B">
      <w:pPr>
        <w:pStyle w:val="05-Pargrafodetexto-CLG"/>
      </w:pPr>
      <w:r w:rsidRPr="00C43C44">
        <w:lastRenderedPageBreak/>
        <w:t xml:space="preserve">A Resolução </w:t>
      </w:r>
      <w:r w:rsidR="00DD5AD9">
        <w:t xml:space="preserve">do Congresso Nacional </w:t>
      </w:r>
      <w:r w:rsidRPr="00C43C44">
        <w:t xml:space="preserve">nº 1, de </w:t>
      </w:r>
      <w:r w:rsidR="00DD5AD9">
        <w:t xml:space="preserve">8 de maio de </w:t>
      </w:r>
      <w:r w:rsidRPr="00C43C44">
        <w:t>2002, que dispõe sobre a apreciação das medidas provisórias pelo Congresso, também previu o exame da compatibilidade e adequação orçamentária e financeira da matéria proposta (</w:t>
      </w:r>
      <w:proofErr w:type="spellStart"/>
      <w:r w:rsidRPr="00C43C44">
        <w:t>arts</w:t>
      </w:r>
      <w:proofErr w:type="spellEnd"/>
      <w:r w:rsidRPr="00C43C44">
        <w:t>. 5º, 8º e 19).</w:t>
      </w:r>
    </w:p>
    <w:p w14:paraId="327CFB95" w14:textId="77777777" w:rsidR="00C43C44" w:rsidRPr="00C43C44" w:rsidRDefault="00C43C44" w:rsidP="00EE372B">
      <w:pPr>
        <w:pStyle w:val="05-Pargrafodetexto-CLG"/>
      </w:pPr>
      <w:r w:rsidRPr="00C43C44">
        <w:t>Apesar da clareza das disposições da LRF e d</w:t>
      </w:r>
      <w:r w:rsidR="00EE372B">
        <w:t>a</w:t>
      </w:r>
      <w:r w:rsidRPr="00C43C44">
        <w:t xml:space="preserve"> Resolução nº 1/2002-CN, o ordenamento jurídico pátrio não foi suficientemente capaz de conter a escalada de descontrole das contas públicas, agravado pela rigidez demasiada das despesas obrigatórias. Apesar da elevada carga tributária, o volume de recursos aportados ao Erário é insuficiente para suportar os compromissos estatais. É lugar comum a constatação de que o Estado arrecada em excesso, gasta muito e gasta mal!</w:t>
      </w:r>
    </w:p>
    <w:p w14:paraId="7FCC4D9B" w14:textId="77777777" w:rsidR="00C43C44" w:rsidRPr="00C43C44" w:rsidRDefault="00C43C44" w:rsidP="00EE372B">
      <w:pPr>
        <w:pStyle w:val="05-Pargrafodetexto-CLG"/>
      </w:pPr>
      <w:r w:rsidRPr="00C43C44">
        <w:t>Não temos nenhuma dúvida de que parte desse descontrole deve ser atribuída à ineficácia de atuação prévia do Parlamento, que, sem uma metodologia apropriada de controle da criação dos gastos e da concessão de múltiplos benefícios tributários, contribui rotineiramente para agravar a situação.</w:t>
      </w:r>
    </w:p>
    <w:p w14:paraId="5BCA2247" w14:textId="77777777" w:rsidR="00C43C44" w:rsidRPr="00C43C44" w:rsidRDefault="00C43C44" w:rsidP="00EE372B">
      <w:pPr>
        <w:pStyle w:val="05-Pargrafodetexto-CLG"/>
      </w:pPr>
      <w:r w:rsidRPr="00C43C44">
        <w:lastRenderedPageBreak/>
        <w:t xml:space="preserve">De modo pioneiro e exemplar, inclusive antes mesmo da LRF, a Câmara dos Deputados, embora por meio de mecanismo ainda precário, já há muito visa impedir a aprovação de proposições legislativas com cunho impactante no crescimento da despesa obrigatória ou na redução da receita da União. O controle ainda hoje não se perfaz plenamente naquela Casa, seja porque o mecanismo previsto não se coloca de forma imperativa e absoluta para todas as situações, seja porque, quando a matéria é enviada à deliberação do Senado, não há no Regimento desta outra Casa instrumento de controle idêntico, pelo que se reduz o efeito da boa iniciativa da Câmara. </w:t>
      </w:r>
    </w:p>
    <w:p w14:paraId="7491D814" w14:textId="77777777" w:rsidR="00C43C44" w:rsidRPr="00C43C44" w:rsidRDefault="00C43C44" w:rsidP="00D11F12">
      <w:pPr>
        <w:pStyle w:val="05-Pargrafodetexto-CLG"/>
      </w:pPr>
      <w:r w:rsidRPr="00C43C44">
        <w:t>A propósito, diz o Regimento daquela Casa, entre outros dispositivos (Resolução</w:t>
      </w:r>
      <w:r w:rsidR="003E4904">
        <w:t xml:space="preserve"> da Câmara dos Deputados</w:t>
      </w:r>
      <w:r w:rsidRPr="00C43C44">
        <w:t xml:space="preserve"> nº 17, de </w:t>
      </w:r>
      <w:r w:rsidR="003E4904">
        <w:t xml:space="preserve">21 de setembro de </w:t>
      </w:r>
      <w:r w:rsidRPr="00C43C44">
        <w:t>1989):</w:t>
      </w:r>
    </w:p>
    <w:p w14:paraId="1A1B72C0" w14:textId="77777777" w:rsidR="00C43C44" w:rsidRPr="00C43C44" w:rsidRDefault="00C43C44" w:rsidP="00D11F12">
      <w:pPr>
        <w:pStyle w:val="07-Citaolegal-CLG"/>
      </w:pPr>
      <w:r w:rsidRPr="00D11F12">
        <w:rPr>
          <w:b/>
        </w:rPr>
        <w:t>Art. 53.</w:t>
      </w:r>
      <w:r w:rsidRPr="00C43C44">
        <w:t xml:space="preserve"> Antes da deliberação do Plenário, ou quando esta for dispensada, as proposições, exceto os requerimentos, serão apreciadas:</w:t>
      </w:r>
    </w:p>
    <w:p w14:paraId="2A0DF06A" w14:textId="77777777" w:rsidR="00D11F12" w:rsidRDefault="00D11F12" w:rsidP="00D11F12">
      <w:pPr>
        <w:pStyle w:val="07-Citaolegal-CLG"/>
      </w:pPr>
      <w:r w:rsidRPr="008B78AA">
        <w:t>...................................................</w:t>
      </w:r>
      <w:r>
        <w:t>.</w:t>
      </w:r>
    </w:p>
    <w:p w14:paraId="73CCE2FA" w14:textId="23F760AF" w:rsidR="00C43C44" w:rsidRPr="00C43C44" w:rsidRDefault="00C43C44" w:rsidP="00D11F12">
      <w:pPr>
        <w:pStyle w:val="07-Citaolegal-CLG"/>
      </w:pPr>
      <w:r w:rsidRPr="00C43C44">
        <w:t xml:space="preserve">II </w:t>
      </w:r>
      <w:r w:rsidR="00D11F12">
        <w:t xml:space="preserve">– </w:t>
      </w:r>
      <w:proofErr w:type="gramStart"/>
      <w:r w:rsidR="00E31EB8">
        <w:t>pela</w:t>
      </w:r>
      <w:proofErr w:type="gramEnd"/>
      <w:r w:rsidR="00E31EB8">
        <w:t xml:space="preserve"> </w:t>
      </w:r>
      <w:r w:rsidRPr="00C43C44">
        <w:t xml:space="preserve">Comissão de Finanças e Tributação, para o exame dos aspectos financeiro e orçamentário públicos, </w:t>
      </w:r>
      <w:r w:rsidRPr="00C43C44">
        <w:rPr>
          <w:b/>
        </w:rPr>
        <w:t xml:space="preserve">quanto à sua compatibilidade ou adequação com </w:t>
      </w:r>
      <w:r w:rsidRPr="00C43C44">
        <w:rPr>
          <w:b/>
        </w:rPr>
        <w:lastRenderedPageBreak/>
        <w:t>o plano plurianual, a lei de diretrizes orçamentárias e o orçamento anual</w:t>
      </w:r>
      <w:r w:rsidRPr="00C43C44">
        <w:t>, e para o exame do mérito, quando for o caso;</w:t>
      </w:r>
      <w:r w:rsidR="00D11F12">
        <w:t xml:space="preserve"> (negritamos)</w:t>
      </w:r>
    </w:p>
    <w:p w14:paraId="162C942C" w14:textId="77777777" w:rsidR="00D11F12" w:rsidRDefault="00D11F12" w:rsidP="00D11F12">
      <w:pPr>
        <w:pStyle w:val="08-Citaolegal-ltimalinha-CLG"/>
      </w:pPr>
      <w:r w:rsidRPr="00D11F12">
        <w:t>....................................................</w:t>
      </w:r>
    </w:p>
    <w:p w14:paraId="473D1F7F" w14:textId="77777777" w:rsidR="00C43C44" w:rsidRPr="00C43C44" w:rsidRDefault="00C43C44" w:rsidP="00D11F12">
      <w:pPr>
        <w:pStyle w:val="07-Citaolegal-CLG"/>
      </w:pPr>
      <w:r w:rsidRPr="00D11F12">
        <w:rPr>
          <w:b/>
        </w:rPr>
        <w:t>Art. 54.</w:t>
      </w:r>
      <w:r w:rsidRPr="00C43C44">
        <w:t xml:space="preserve"> Será terminativo o parecer: </w:t>
      </w:r>
    </w:p>
    <w:p w14:paraId="0EEE17DE" w14:textId="77777777" w:rsidR="00D11F12" w:rsidRDefault="00D11F12" w:rsidP="00D11F12">
      <w:pPr>
        <w:pStyle w:val="07-Citaolegal-CLG"/>
      </w:pPr>
      <w:r w:rsidRPr="00D11F12">
        <w:t>....................................................</w:t>
      </w:r>
    </w:p>
    <w:p w14:paraId="5F16531F" w14:textId="4DDECD8D" w:rsidR="00C43C44" w:rsidRPr="00C43C44" w:rsidRDefault="00C43C44" w:rsidP="00D11F12">
      <w:pPr>
        <w:pStyle w:val="07-Citaolegal-CLG"/>
      </w:pPr>
      <w:r w:rsidRPr="00C43C44">
        <w:t xml:space="preserve">II </w:t>
      </w:r>
      <w:r w:rsidR="00D11F12">
        <w:t xml:space="preserve">– </w:t>
      </w:r>
      <w:proofErr w:type="gramStart"/>
      <w:r w:rsidR="00E31EB8">
        <w:t>da</w:t>
      </w:r>
      <w:proofErr w:type="gramEnd"/>
      <w:r w:rsidR="00E31EB8">
        <w:t xml:space="preserve"> </w:t>
      </w:r>
      <w:bookmarkStart w:id="0" w:name="_GoBack"/>
      <w:bookmarkEnd w:id="0"/>
      <w:r w:rsidRPr="00C43C44">
        <w:t xml:space="preserve">Comissão de Finanças e Tributação, </w:t>
      </w:r>
      <w:r w:rsidRPr="00C43C44">
        <w:rPr>
          <w:b/>
        </w:rPr>
        <w:t>sobre a adequação financeira ou orçamentária da proposiçã</w:t>
      </w:r>
      <w:r w:rsidRPr="00C43C44">
        <w:t xml:space="preserve">o; </w:t>
      </w:r>
      <w:r w:rsidR="00D11F12">
        <w:t>(negritamos)</w:t>
      </w:r>
    </w:p>
    <w:p w14:paraId="767FC44B" w14:textId="77777777" w:rsidR="00D11F12" w:rsidRDefault="00D11F12" w:rsidP="00D11F12">
      <w:pPr>
        <w:pStyle w:val="08-Citaolegal-ltimalinha-CLG"/>
      </w:pPr>
      <w:r w:rsidRPr="00D11F12">
        <w:t>....................................................</w:t>
      </w:r>
    </w:p>
    <w:p w14:paraId="1E9A7100" w14:textId="77777777" w:rsidR="00C43C44" w:rsidRPr="00C43C44" w:rsidRDefault="00C43C44" w:rsidP="00D11F12">
      <w:pPr>
        <w:pStyle w:val="07-Citaolegal-CLG"/>
      </w:pPr>
      <w:r w:rsidRPr="00D11F12">
        <w:rPr>
          <w:b/>
        </w:rPr>
        <w:t>Art. 139.</w:t>
      </w:r>
      <w:r w:rsidRPr="00C43C44">
        <w:t xml:space="preserve"> A distribuição de matéria às Comissões será feita por despacho do Presidente, dentro em duas sessões depois de recebida na Mesa, observadas as seguintes normas: </w:t>
      </w:r>
    </w:p>
    <w:p w14:paraId="25EDDB4D" w14:textId="77777777" w:rsidR="00D11F12" w:rsidRDefault="00D11F12" w:rsidP="00D11F12">
      <w:pPr>
        <w:pStyle w:val="07-Citaolegal-CLG"/>
      </w:pPr>
      <w:r w:rsidRPr="008B78AA">
        <w:t>...................................................</w:t>
      </w:r>
      <w:r>
        <w:t>.</w:t>
      </w:r>
    </w:p>
    <w:p w14:paraId="3102EBB2" w14:textId="576CDB9E" w:rsidR="00C43C44" w:rsidRPr="00C43C44" w:rsidRDefault="00E31EB8" w:rsidP="00D11F12">
      <w:pPr>
        <w:pStyle w:val="07-Citaolegal-CLG"/>
      </w:pPr>
      <w:r>
        <w:t xml:space="preserve">II – </w:t>
      </w:r>
      <w:proofErr w:type="gramStart"/>
      <w:r>
        <w:t>excetuadas</w:t>
      </w:r>
      <w:proofErr w:type="gramEnd"/>
      <w:r>
        <w:t xml:space="preserve"> </w:t>
      </w:r>
      <w:r w:rsidR="00C43C44" w:rsidRPr="00C43C44">
        <w:t xml:space="preserve">as hipóteses contidas no art. 34, a proposição será distribuída: </w:t>
      </w:r>
    </w:p>
    <w:p w14:paraId="5818D385" w14:textId="77777777" w:rsidR="00D11F12" w:rsidRDefault="00D11F12" w:rsidP="00D11F12">
      <w:pPr>
        <w:pStyle w:val="07-Citaolegal-CLG"/>
      </w:pPr>
      <w:r w:rsidRPr="008B78AA">
        <w:t>...................................................</w:t>
      </w:r>
      <w:r>
        <w:t>.</w:t>
      </w:r>
    </w:p>
    <w:p w14:paraId="4B777693" w14:textId="77777777" w:rsidR="00C43C44" w:rsidRPr="00D11F12" w:rsidRDefault="00C43C44" w:rsidP="00D11F12">
      <w:pPr>
        <w:pStyle w:val="08-Citaolegal-ltimalinha-CLG"/>
        <w:rPr>
          <w:szCs w:val="24"/>
        </w:rPr>
      </w:pPr>
      <w:r w:rsidRPr="00C43C44">
        <w:lastRenderedPageBreak/>
        <w:t xml:space="preserve">b) quando envolver aspectos financeiro ou orçamentário públicos, à Comissão de Finanças e Tributação, </w:t>
      </w:r>
      <w:r w:rsidRPr="00C43C44">
        <w:rPr>
          <w:b/>
        </w:rPr>
        <w:t>para o exame da compatibilidade ou adequação orçamentária</w:t>
      </w:r>
      <w:r w:rsidRPr="00C43C44">
        <w:t>;</w:t>
      </w:r>
      <w:r w:rsidRPr="00C43C44">
        <w:rPr>
          <w:szCs w:val="24"/>
        </w:rPr>
        <w:t xml:space="preserve"> </w:t>
      </w:r>
      <w:hyperlink r:id="rId8" w:history="1">
        <w:r w:rsidRPr="00D11F12">
          <w:rPr>
            <w:i/>
            <w:szCs w:val="24"/>
          </w:rPr>
          <w:t>(Alínea com redação dada pela Resolução nº 10, de 1991)</w:t>
        </w:r>
      </w:hyperlink>
      <w:r w:rsidRPr="00D11F12">
        <w:rPr>
          <w:i/>
          <w:szCs w:val="24"/>
        </w:rPr>
        <w:t xml:space="preserve"> </w:t>
      </w:r>
      <w:r w:rsidRPr="00D11F12">
        <w:rPr>
          <w:szCs w:val="24"/>
        </w:rPr>
        <w:t>(negritamos)</w:t>
      </w:r>
    </w:p>
    <w:p w14:paraId="56A181D2" w14:textId="1A900EA4" w:rsidR="00C43C44" w:rsidRPr="00C43C44" w:rsidRDefault="00C43C44" w:rsidP="00D11F12">
      <w:pPr>
        <w:pStyle w:val="05-Pargrafodetexto-CLG"/>
      </w:pPr>
      <w:r w:rsidRPr="00C43C44">
        <w:t>Portanto, o NRF não inovou no ordenamento, quanto à necessidade de demonstração da adequação das proposições legislativas à ordem fiscal. Contudo, elevou o nível imperativo da exigência, porque passou a constar da Carta Política. Nesse sentido, o desrespeito ao normativo poderá redundar em anulação da eventual norma que, aprovada, não tenha atendido a tal comando, tendo em vista que a previsão constitucional é hábil a disparar o instrumento do controle da constitucionalidade das normas, via Supremo Tribunal Federal.</w:t>
      </w:r>
    </w:p>
    <w:p w14:paraId="0CFE2757" w14:textId="00277B1C" w:rsidR="00C43C44" w:rsidRPr="00C43C44" w:rsidRDefault="00C43C44" w:rsidP="00D11F12">
      <w:pPr>
        <w:pStyle w:val="05-Pargrafodetexto-CLG"/>
      </w:pPr>
      <w:r w:rsidRPr="00C43C44">
        <w:t>O NRF, por outro lado, cria uma oportunidade que pretendemos aproveitar.</w:t>
      </w:r>
    </w:p>
    <w:p w14:paraId="0D37E41D" w14:textId="77777777" w:rsidR="00C43C44" w:rsidRPr="00C43C44" w:rsidRDefault="00C43C44" w:rsidP="001364EA">
      <w:pPr>
        <w:pStyle w:val="05-Pargrafodetexto-CLG"/>
      </w:pPr>
      <w:r w:rsidRPr="00C43C44">
        <w:t xml:space="preserve">Nossa pretensão, para a qual contamos com a compreensão e apoio dos nobres pares, visa estabelecer no âmbito do nosso Regimento um mecanismo de </w:t>
      </w:r>
      <w:r w:rsidRPr="00C43C44">
        <w:lastRenderedPageBreak/>
        <w:t>avaliação da adequação orçamentária e financeira. Tal exame deve incidir, essa é a nossa proposta, sobre qualquer proposição de competência do Senado Federal, tanto como casa iniciadora quanto como revisora, independentemente do momento e local de deliberação da matéria (comissão ou Plenário) e do tipo de proposição (decreto legislativo, resolução, projeto de lei, proposta de emenda constitucional, emenda, substitutivo). É o que passamos a demonstrar.</w:t>
      </w:r>
    </w:p>
    <w:p w14:paraId="3436E628" w14:textId="77777777" w:rsidR="00C43C44" w:rsidRPr="00EE54AB" w:rsidRDefault="00C43C44" w:rsidP="00FA1A13">
      <w:pPr>
        <w:widowControl w:val="0"/>
        <w:numPr>
          <w:ilvl w:val="0"/>
          <w:numId w:val="1"/>
        </w:numPr>
        <w:autoSpaceDE w:val="0"/>
        <w:autoSpaceDN w:val="0"/>
        <w:adjustRightInd w:val="0"/>
        <w:spacing w:before="360" w:after="240" w:line="240" w:lineRule="atLeast"/>
        <w:ind w:left="567" w:hanging="567"/>
        <w:jc w:val="both"/>
        <w:rPr>
          <w:rFonts w:ascii="Times New Roman" w:eastAsia="Times New Roman" w:hAnsi="Times New Roman" w:cs="Times New Roman"/>
          <w:sz w:val="28"/>
          <w:szCs w:val="28"/>
          <w:lang w:eastAsia="pt-BR"/>
        </w:rPr>
      </w:pPr>
      <w:r w:rsidRPr="00EE54AB">
        <w:rPr>
          <w:rFonts w:ascii="Times New Roman" w:eastAsia="Times New Roman" w:hAnsi="Times New Roman" w:cs="Times New Roman"/>
          <w:sz w:val="28"/>
          <w:szCs w:val="28"/>
          <w:u w:val="single"/>
          <w:lang w:eastAsia="pt-BR"/>
        </w:rPr>
        <w:t>Imposição da análise de adequação e definição do órgão competente</w:t>
      </w:r>
    </w:p>
    <w:p w14:paraId="39285A28" w14:textId="06C96C13" w:rsidR="00C43C44" w:rsidRPr="00C43C44" w:rsidRDefault="00C43C44" w:rsidP="00AB00B6">
      <w:pPr>
        <w:pStyle w:val="05-Pargrafodetexto-CLG"/>
      </w:pPr>
      <w:r w:rsidRPr="00C43C44">
        <w:t xml:space="preserve">Por intermédio da </w:t>
      </w:r>
      <w:r w:rsidR="00186956">
        <w:t>alteração da redação do inciso VI</w:t>
      </w:r>
      <w:r w:rsidRPr="00C43C44">
        <w:t xml:space="preserve">I </w:t>
      </w:r>
      <w:r w:rsidR="00186956">
        <w:t>d</w:t>
      </w:r>
      <w:r w:rsidRPr="00C43C44">
        <w:t xml:space="preserve">o </w:t>
      </w:r>
      <w:r w:rsidR="00186956">
        <w:t>art. 99</w:t>
      </w:r>
      <w:r w:rsidRPr="00C43C44">
        <w:t xml:space="preserve"> </w:t>
      </w:r>
      <w:r w:rsidR="00186956">
        <w:t xml:space="preserve">do RISF </w:t>
      </w:r>
      <w:r w:rsidRPr="00C43C44">
        <w:t xml:space="preserve">e </w:t>
      </w:r>
      <w:r w:rsidR="00186956">
        <w:t xml:space="preserve">da inserção </w:t>
      </w:r>
      <w:r w:rsidRPr="00C43C44">
        <w:t xml:space="preserve">dos §§ </w:t>
      </w:r>
      <w:r w:rsidR="00425FF4">
        <w:t>4</w:t>
      </w:r>
      <w:r w:rsidRPr="00C43C44">
        <w:t xml:space="preserve">º a </w:t>
      </w:r>
      <w:r w:rsidR="00425FF4">
        <w:t>8</w:t>
      </w:r>
      <w:r w:rsidRPr="00C43C44">
        <w:t>º</w:t>
      </w:r>
      <w:r w:rsidR="00186956">
        <w:t xml:space="preserve"> nesse mesmo artigo,</w:t>
      </w:r>
      <w:r w:rsidRPr="00C43C44">
        <w:t xml:space="preserve"> pretendemos fixar que será da Comissão de Assuntos Econômicos – CAE</w:t>
      </w:r>
      <w:r w:rsidR="00186956">
        <w:t xml:space="preserve"> – </w:t>
      </w:r>
      <w:r w:rsidRPr="00C43C44">
        <w:t xml:space="preserve">a competência natural para exame da </w:t>
      </w:r>
      <w:r w:rsidR="00F34A76">
        <w:t xml:space="preserve">compatibilidade e </w:t>
      </w:r>
      <w:r w:rsidRPr="00C43C44">
        <w:t>adequação orçamentária e financeira das proposições que tramitarem no Senado. Pela pertinência da matéria, de inegável afinidade com as prerrogativas e especialidade daquele Colegiado, não nos ocorreu que essa nova atribuição pudesse ser destacada para qualquer órgão interno, que não a própria CAE.</w:t>
      </w:r>
    </w:p>
    <w:p w14:paraId="5C179143" w14:textId="238E5962" w:rsidR="00C43C44" w:rsidRPr="00C43C44" w:rsidRDefault="00C43C44" w:rsidP="00AB00B6">
      <w:pPr>
        <w:pStyle w:val="05-Pargrafodetexto-CLG"/>
      </w:pPr>
      <w:r w:rsidRPr="00C43C44">
        <w:lastRenderedPageBreak/>
        <w:t xml:space="preserve">Por meio do § </w:t>
      </w:r>
      <w:r w:rsidR="00213FEE">
        <w:t>4</w:t>
      </w:r>
      <w:r w:rsidRPr="00C43C44">
        <w:t>º proposto, esclarece-se o objeto da análise do exame de adequação das proposições, qual seja o de verificar o impacto na despesa ou na receita no caso de aprovação da proposição, bem assim a compatibilidade do objeto proposto com o ordenamento em vigor, que deve ser plenamente observado. Não nos pareceu conveniente estabelecer quais os critérios que levam à definição segura do que seja compatível e adequado. Tal normatização já se encontra razoavelmente prevista na própria LRF e adequadamente regulada na lei de diretrizes orçamentárias de cada exercício financeiro, a qual, justo por ser lei temporária, vem sendo adaptada a cada conjuntura. Além disso, como o faz a Comissão de Finanças e Tributação da Câmara dos Deputados, colegiado competente para exame da matéria naquela Casa, a CAE poderá optar por regulamento interno, segundo sua conveniência.</w:t>
      </w:r>
    </w:p>
    <w:p w14:paraId="0F2CA44A" w14:textId="2707DA19" w:rsidR="00C43C44" w:rsidRPr="00C43C44" w:rsidRDefault="00C43C44" w:rsidP="00AB00B6">
      <w:pPr>
        <w:pStyle w:val="05-Pargrafodetexto-CLG"/>
      </w:pPr>
      <w:r w:rsidRPr="00C43C44">
        <w:t xml:space="preserve">O § </w:t>
      </w:r>
      <w:r w:rsidR="00913719">
        <w:t>5</w:t>
      </w:r>
      <w:r w:rsidRPr="00C43C44">
        <w:t xml:space="preserve">º estabelece que, nos casos de multiplicidade de competências, em que a proposição tramita por mais de uma Comissão, a CAE seja a última a se manifestar, inclusive porque poderá analisar o conjunto de alterações propostas por meio de emendas em outros colegiados. Admitimos que outra opção válida, </w:t>
      </w:r>
      <w:r w:rsidRPr="00C43C44">
        <w:lastRenderedPageBreak/>
        <w:t>que poderia evitar desde logo a tramitação de proposição inadequada, seria a manifestação inicial desse Colegiado. No entanto, se assim o fosse, ou deixar-se-ia sem manifestação as inúmeras emendas que são apresentadas ao longo do percurso legislativo da matéria, as quais sabidamente em vários casos modificam e ampliam o objeto proposto, com aumento da despesa ou da renúncia de receita, ou a proposição teria de retornar a esse Colegiado para a análise específica das emendas. Optamos pelo modelo que deixa à CAE a apreciação final, até por economia processual: além de evitar o retorno da proposição para análise das emendas, essa Comissão, em análise última, poderá escoimar os eventuais vícios acumulados nas etapas precedentes.</w:t>
      </w:r>
    </w:p>
    <w:p w14:paraId="3EA76268" w14:textId="7346AE39" w:rsidR="00C43C44" w:rsidRPr="00C43C44" w:rsidRDefault="00C43C44" w:rsidP="00AB00B6">
      <w:pPr>
        <w:pStyle w:val="05-Pargrafodetexto-CLG"/>
      </w:pPr>
      <w:r w:rsidRPr="0015360C">
        <w:t xml:space="preserve">Pensamos o § </w:t>
      </w:r>
      <w:r w:rsidR="00913719">
        <w:t>6</w:t>
      </w:r>
      <w:r w:rsidRPr="0015360C">
        <w:t xml:space="preserve">º para evitar o arquivamento prematuro da proposição. Sendo assim, seu autor poderá atualizar oportunamente as informações necessárias </w:t>
      </w:r>
      <w:r w:rsidR="004B57D0">
        <w:t>à</w:t>
      </w:r>
      <w:r w:rsidRPr="0015360C">
        <w:t xml:space="preserve"> avaliação da compatibilidade e adequação da matéria à ordem legal financeira e orçamentária. Veja-se que tal atualização deve ser providenciada, ainda que a proposição, iniciada na Câmara, se encontre sob revisão do Senado. Diversos fatos podem indicar essa necessidade, como a alteração da política fiscal, </w:t>
      </w:r>
      <w:r w:rsidRPr="0015360C">
        <w:lastRenderedPageBreak/>
        <w:t>a revisão de metas, a análise da compatibilidade em exercício distinto daquele em que a proposição foi iniciada, por exemplo.</w:t>
      </w:r>
      <w:r w:rsidRPr="00C43C44">
        <w:t xml:space="preserve"> </w:t>
      </w:r>
    </w:p>
    <w:p w14:paraId="3676FA1C" w14:textId="77777777" w:rsidR="004B57D0" w:rsidRDefault="00C43C44" w:rsidP="00AB00B6">
      <w:pPr>
        <w:pStyle w:val="05-Pargrafodetexto-CLG"/>
      </w:pPr>
      <w:r w:rsidRPr="00C43C44">
        <w:t xml:space="preserve">Por seu turno, também visando tornar a proposição adequada, o relator, embora não seja função sua, poderá, se considerar </w:t>
      </w:r>
      <w:r w:rsidR="00F60D55">
        <w:t>pertinente, providenciar por si</w:t>
      </w:r>
      <w:r w:rsidRPr="00C43C44">
        <w:t xml:space="preserve"> ou mesmo por meio da Consultoria de Orçamentos</w:t>
      </w:r>
      <w:r w:rsidR="00F60D55">
        <w:t xml:space="preserve">, Fiscalização e Controle do Senado Federal – </w:t>
      </w:r>
      <w:proofErr w:type="spellStart"/>
      <w:r w:rsidR="00F60D55">
        <w:t>Conorf</w:t>
      </w:r>
      <w:proofErr w:type="spellEnd"/>
      <w:r w:rsidR="00F60D55">
        <w:t xml:space="preserve">, </w:t>
      </w:r>
      <w:r w:rsidRPr="00C43C44">
        <w:t xml:space="preserve">a atualização dessas informações, recorrendo para tanto a qualquer órgão da administração pública, direta ou indireta, de qualquer dos Poderes. </w:t>
      </w:r>
    </w:p>
    <w:p w14:paraId="0D65E535" w14:textId="7996A2EF" w:rsidR="00CF01D1" w:rsidRDefault="00C43C44" w:rsidP="00AB00B6">
      <w:pPr>
        <w:pStyle w:val="05-Pargrafodetexto-CLG"/>
      </w:pPr>
      <w:r w:rsidRPr="00C43C44">
        <w:t xml:space="preserve">Considerando a dimensão e importância do tema, que agora tem fundamento constitucional, estamos propondo que a análise da CAE sobre a adequação orçamentária e financeira se dê em destaque, em tópico específico do respectivo parecer. </w:t>
      </w:r>
      <w:r w:rsidR="00CF01D1">
        <w:t xml:space="preserve">Além do mais, o </w:t>
      </w:r>
      <w:r w:rsidR="00CF01D1" w:rsidRPr="00CF01D1">
        <w:t>Relator da matéria poderá</w:t>
      </w:r>
      <w:r w:rsidR="004B57D0" w:rsidRPr="00CF01D1">
        <w:t xml:space="preserve"> </w:t>
      </w:r>
      <w:r w:rsidR="00CF01D1">
        <w:t xml:space="preserve">solicitar à </w:t>
      </w:r>
      <w:proofErr w:type="spellStart"/>
      <w:r w:rsidR="00CF01D1">
        <w:t>Conorf</w:t>
      </w:r>
      <w:proofErr w:type="spellEnd"/>
      <w:r w:rsidR="00CF01D1">
        <w:t xml:space="preserve"> </w:t>
      </w:r>
      <w:r w:rsidR="004B57D0" w:rsidRPr="00CF01D1">
        <w:t>a elaboração de nota técnica conclusiva quanto ao atendimento da legislação orçamentária e financeira pela proposição</w:t>
      </w:r>
      <w:r w:rsidR="00CF01D1">
        <w:t xml:space="preserve">, a fim de subsidiar o seu relatório (§ </w:t>
      </w:r>
      <w:r w:rsidR="00E7132E">
        <w:t>7</w:t>
      </w:r>
      <w:r w:rsidR="00CF01D1">
        <w:t>º).</w:t>
      </w:r>
      <w:r w:rsidR="004B57D0" w:rsidRPr="00CF01D1">
        <w:t xml:space="preserve"> </w:t>
      </w:r>
    </w:p>
    <w:p w14:paraId="1916DE59" w14:textId="4672747F" w:rsidR="00C43C44" w:rsidRPr="00C43C44" w:rsidRDefault="00C43C44" w:rsidP="00AB00B6">
      <w:pPr>
        <w:pStyle w:val="05-Pargrafodetexto-CLG"/>
      </w:pPr>
      <w:r w:rsidRPr="00C43C44">
        <w:lastRenderedPageBreak/>
        <w:t xml:space="preserve">Além disso, esse Colegiado deverá manter atualizada, na página do Senado na </w:t>
      </w:r>
      <w:r w:rsidRPr="00CF01D1">
        <w:rPr>
          <w:i/>
        </w:rPr>
        <w:t>internet</w:t>
      </w:r>
      <w:r w:rsidRPr="00C43C44">
        <w:t xml:space="preserve">, como medida da mais ampla publicidade, a relação de todas as proposições que aprovar que gerem aumento de despesa ou redução na arrecadação (§ </w:t>
      </w:r>
      <w:r w:rsidR="00E7132E">
        <w:t>8</w:t>
      </w:r>
      <w:r w:rsidRPr="00C43C44">
        <w:t>º)</w:t>
      </w:r>
    </w:p>
    <w:p w14:paraId="1D5CC9BC" w14:textId="77777777" w:rsidR="00C43C44" w:rsidRPr="00FA1A13" w:rsidRDefault="00C43C44" w:rsidP="00FA1A13">
      <w:pPr>
        <w:widowControl w:val="0"/>
        <w:numPr>
          <w:ilvl w:val="0"/>
          <w:numId w:val="1"/>
        </w:numPr>
        <w:autoSpaceDE w:val="0"/>
        <w:autoSpaceDN w:val="0"/>
        <w:adjustRightInd w:val="0"/>
        <w:spacing w:before="360" w:after="240" w:line="240" w:lineRule="atLeast"/>
        <w:ind w:left="567" w:hanging="567"/>
        <w:jc w:val="both"/>
        <w:rPr>
          <w:rFonts w:ascii="Times New Roman" w:eastAsia="Times New Roman" w:hAnsi="Times New Roman" w:cs="Times New Roman"/>
          <w:sz w:val="28"/>
          <w:szCs w:val="28"/>
          <w:u w:val="single"/>
          <w:lang w:eastAsia="pt-BR"/>
        </w:rPr>
      </w:pPr>
      <w:r w:rsidRPr="00FA1A13">
        <w:rPr>
          <w:rFonts w:ascii="Times New Roman" w:eastAsia="Times New Roman" w:hAnsi="Times New Roman" w:cs="Times New Roman"/>
          <w:sz w:val="28"/>
          <w:szCs w:val="28"/>
          <w:u w:val="single"/>
          <w:lang w:eastAsia="pt-BR"/>
        </w:rPr>
        <w:t xml:space="preserve">Da </w:t>
      </w:r>
      <w:r w:rsidR="004B57D0">
        <w:rPr>
          <w:rFonts w:ascii="Times New Roman" w:eastAsia="Times New Roman" w:hAnsi="Times New Roman" w:cs="Times New Roman"/>
          <w:sz w:val="28"/>
          <w:szCs w:val="28"/>
          <w:u w:val="single"/>
          <w:lang w:eastAsia="pt-BR"/>
        </w:rPr>
        <w:t xml:space="preserve">suspensão </w:t>
      </w:r>
      <w:r w:rsidRPr="00FA1A13">
        <w:rPr>
          <w:rFonts w:ascii="Times New Roman" w:eastAsia="Times New Roman" w:hAnsi="Times New Roman" w:cs="Times New Roman"/>
          <w:sz w:val="28"/>
          <w:szCs w:val="28"/>
          <w:u w:val="single"/>
          <w:lang w:eastAsia="pt-BR"/>
        </w:rPr>
        <w:t xml:space="preserve">do </w:t>
      </w:r>
      <w:r w:rsidR="004B57D0">
        <w:rPr>
          <w:rFonts w:ascii="Times New Roman" w:eastAsia="Times New Roman" w:hAnsi="Times New Roman" w:cs="Times New Roman"/>
          <w:sz w:val="28"/>
          <w:szCs w:val="28"/>
          <w:u w:val="single"/>
          <w:lang w:eastAsia="pt-BR"/>
        </w:rPr>
        <w:t xml:space="preserve">prazo da comissão para a análise de </w:t>
      </w:r>
      <w:r w:rsidRPr="00FA1A13">
        <w:rPr>
          <w:rFonts w:ascii="Times New Roman" w:eastAsia="Times New Roman" w:hAnsi="Times New Roman" w:cs="Times New Roman"/>
          <w:sz w:val="28"/>
          <w:szCs w:val="28"/>
          <w:u w:val="single"/>
          <w:lang w:eastAsia="pt-BR"/>
        </w:rPr>
        <w:t>adequação</w:t>
      </w:r>
    </w:p>
    <w:p w14:paraId="0BB3FD21" w14:textId="77777777" w:rsidR="00C43C44" w:rsidRDefault="00C43C44" w:rsidP="00084DB5">
      <w:pPr>
        <w:pStyle w:val="05-Pargrafodetexto-CLG"/>
      </w:pPr>
      <w:r w:rsidRPr="00C43C44">
        <w:t>O art. 11</w:t>
      </w:r>
      <w:r w:rsidR="004B57D0">
        <w:t>8</w:t>
      </w:r>
      <w:r w:rsidRPr="00C43C44">
        <w:t xml:space="preserve"> do RISF </w:t>
      </w:r>
      <w:r w:rsidR="004B57D0">
        <w:t xml:space="preserve">disciplina os </w:t>
      </w:r>
      <w:r w:rsidR="00FF57F1">
        <w:t>prazos para o exame das proposiç</w:t>
      </w:r>
      <w:r w:rsidR="00084DB5">
        <w:t xml:space="preserve">ões pelas comissões, inclusive as hipóteses em que os prazos são suspensos. </w:t>
      </w:r>
    </w:p>
    <w:p w14:paraId="13028793" w14:textId="77777777" w:rsidR="00FF57F1" w:rsidRPr="00C40572" w:rsidRDefault="00FF57F1" w:rsidP="00084DB5">
      <w:pPr>
        <w:pStyle w:val="05-Pargrafodetexto-CLG"/>
      </w:pPr>
      <w:r w:rsidRPr="00C40572">
        <w:t xml:space="preserve">Por óbvio, enquanto a atualização </w:t>
      </w:r>
      <w:r w:rsidR="00084DB5">
        <w:t xml:space="preserve">das informações necessárias ao exame de compatibilidade e adequação orçamentária e financeira </w:t>
      </w:r>
      <w:r w:rsidRPr="00C40572">
        <w:t>não ocorrer, a matéria não poderá tramitar, razão pela qual estamos propondo a suspensão do respectivo prazo do Colegiado, na forma d</w:t>
      </w:r>
      <w:r w:rsidR="00084DB5">
        <w:t>e nova redação a</w:t>
      </w:r>
      <w:r w:rsidRPr="00C40572">
        <w:t xml:space="preserve">o § </w:t>
      </w:r>
      <w:r w:rsidR="00B050F8">
        <w:t>4</w:t>
      </w:r>
      <w:r w:rsidRPr="00C40572">
        <w:t>º</w:t>
      </w:r>
      <w:r w:rsidR="00084DB5">
        <w:t xml:space="preserve"> do art. 118</w:t>
      </w:r>
      <w:r w:rsidRPr="00C40572">
        <w:t>.</w:t>
      </w:r>
    </w:p>
    <w:p w14:paraId="6317C8CC" w14:textId="77777777" w:rsidR="00C43C44" w:rsidRPr="00FA1A13" w:rsidRDefault="00C43C44" w:rsidP="00FA1A13">
      <w:pPr>
        <w:widowControl w:val="0"/>
        <w:numPr>
          <w:ilvl w:val="0"/>
          <w:numId w:val="1"/>
        </w:numPr>
        <w:autoSpaceDE w:val="0"/>
        <w:autoSpaceDN w:val="0"/>
        <w:adjustRightInd w:val="0"/>
        <w:spacing w:before="360" w:after="240" w:line="240" w:lineRule="atLeast"/>
        <w:ind w:left="567" w:hanging="567"/>
        <w:jc w:val="both"/>
        <w:rPr>
          <w:rFonts w:ascii="Times New Roman" w:eastAsia="Times New Roman" w:hAnsi="Times New Roman" w:cs="Times New Roman"/>
          <w:sz w:val="28"/>
          <w:szCs w:val="28"/>
          <w:u w:val="single"/>
          <w:lang w:eastAsia="pt-BR"/>
        </w:rPr>
      </w:pPr>
      <w:r w:rsidRPr="00FA1A13">
        <w:rPr>
          <w:rFonts w:ascii="Times New Roman" w:eastAsia="Times New Roman" w:hAnsi="Times New Roman" w:cs="Times New Roman"/>
          <w:sz w:val="28"/>
          <w:szCs w:val="28"/>
          <w:u w:val="single"/>
          <w:lang w:eastAsia="pt-BR"/>
        </w:rPr>
        <w:t>Do exame da compatibilidade e adequação mesmo no caso de parecer em Plenário</w:t>
      </w:r>
    </w:p>
    <w:p w14:paraId="227F355E" w14:textId="77777777" w:rsidR="00C43C44" w:rsidRPr="00C43C44" w:rsidRDefault="00C43C44" w:rsidP="00FA1A13">
      <w:pPr>
        <w:pStyle w:val="05-Pargrafodetexto-CLG"/>
      </w:pPr>
      <w:r w:rsidRPr="00C43C44">
        <w:lastRenderedPageBreak/>
        <w:t xml:space="preserve">O art. 125 do RISF estabelece a possibilidade, nos termos regimentais, de parecer em Plenário pelo relator designado, inclusive com a oferta de emendas ou subemendas. Ainda que isso seja possível, e de fato o é segundo o Regimento, nossa proposta exige que </w:t>
      </w:r>
      <w:r w:rsidR="00182D66">
        <w:t>o</w:t>
      </w:r>
      <w:r w:rsidRPr="00C43C44">
        <w:t xml:space="preserve"> relator se pronuncie, necessariamente, sobre a compatibilidade da matéria, incluindo emendas e subemendas. </w:t>
      </w:r>
    </w:p>
    <w:p w14:paraId="052F2946" w14:textId="77777777" w:rsidR="00C43C44" w:rsidRPr="00C43C44" w:rsidRDefault="00C43C44" w:rsidP="00FA1A13">
      <w:pPr>
        <w:pStyle w:val="05-Pargrafodetexto-CLG"/>
      </w:pPr>
      <w:r w:rsidRPr="00C43C44">
        <w:t>Mesmo no caso de parecer oral em Plenário, não haveria como se negar tal exame, haja vista que o § 3º proposto ao art. 140 tem exatamente a intenção de fechar essa brecha.</w:t>
      </w:r>
    </w:p>
    <w:p w14:paraId="7D4F18E6" w14:textId="77777777" w:rsidR="00C43C44" w:rsidRPr="00C43C44" w:rsidRDefault="00C43C44" w:rsidP="00FA1A13">
      <w:pPr>
        <w:pStyle w:val="05-Pargrafodetexto-CLG"/>
      </w:pPr>
      <w:r w:rsidRPr="00C43C44">
        <w:t>Complementando a disciplina de tramitação de matérias no Plenário, estamos propondo, por meio da modificação da redação do parágrafo único do art. 16</w:t>
      </w:r>
      <w:r w:rsidR="00622F25">
        <w:t>7, que a matéria somente poderá</w:t>
      </w:r>
      <w:r w:rsidRPr="00C43C44">
        <w:t xml:space="preserve"> entrar na Ordem do Dia acompanhada da correspondente análise da compatibilidade e adequação orçamentária e financeira. </w:t>
      </w:r>
      <w:r w:rsidR="00622F25">
        <w:t>Obviamente</w:t>
      </w:r>
      <w:r w:rsidRPr="00C43C44">
        <w:t>, quando for o caso de parecer oral, segue a proposta do citado § 3º ao art. 140; quando o parecer tiver de ser ofertado no próprio Plenário, a exigência não faria sentido.</w:t>
      </w:r>
    </w:p>
    <w:p w14:paraId="5E7B31C7" w14:textId="77777777" w:rsidR="00C43C44" w:rsidRPr="00FA1A13" w:rsidRDefault="00C43C44" w:rsidP="00FA1A13">
      <w:pPr>
        <w:widowControl w:val="0"/>
        <w:numPr>
          <w:ilvl w:val="0"/>
          <w:numId w:val="1"/>
        </w:numPr>
        <w:autoSpaceDE w:val="0"/>
        <w:autoSpaceDN w:val="0"/>
        <w:adjustRightInd w:val="0"/>
        <w:spacing w:before="360" w:after="240" w:line="240" w:lineRule="atLeast"/>
        <w:ind w:left="567" w:hanging="567"/>
        <w:jc w:val="both"/>
        <w:rPr>
          <w:rFonts w:ascii="Times New Roman" w:eastAsia="Times New Roman" w:hAnsi="Times New Roman" w:cs="Times New Roman"/>
          <w:sz w:val="28"/>
          <w:szCs w:val="28"/>
          <w:u w:val="single"/>
          <w:lang w:eastAsia="pt-BR"/>
        </w:rPr>
      </w:pPr>
      <w:r w:rsidRPr="00FA1A13">
        <w:rPr>
          <w:rFonts w:ascii="Times New Roman" w:eastAsia="Times New Roman" w:hAnsi="Times New Roman" w:cs="Times New Roman"/>
          <w:sz w:val="28"/>
          <w:szCs w:val="28"/>
          <w:u w:val="single"/>
          <w:lang w:eastAsia="pt-BR"/>
        </w:rPr>
        <w:lastRenderedPageBreak/>
        <w:t>Da suspensão da tramitação da proposição para análise da compatibilidade</w:t>
      </w:r>
      <w:r w:rsidR="00895EB4">
        <w:rPr>
          <w:rFonts w:ascii="Times New Roman" w:eastAsia="Times New Roman" w:hAnsi="Times New Roman" w:cs="Times New Roman"/>
          <w:sz w:val="28"/>
          <w:szCs w:val="28"/>
          <w:u w:val="single"/>
          <w:lang w:eastAsia="pt-BR"/>
        </w:rPr>
        <w:t xml:space="preserve"> com o NRF</w:t>
      </w:r>
    </w:p>
    <w:p w14:paraId="373193CF" w14:textId="77777777" w:rsidR="00C43C44" w:rsidRPr="00C43C44" w:rsidRDefault="00C43C44" w:rsidP="00FA1A13">
      <w:pPr>
        <w:pStyle w:val="05-Pargrafodetexto-CLG"/>
      </w:pPr>
      <w:r w:rsidRPr="00C43C44">
        <w:t>O art. 114 do ADCT, incluído pelo NRF, dispõe taxativamente que a tramitação legislativa de proposição que acarrete aumento de despesa ou renúncia de receita será suspensa por vinte (20) dias, a requerimento de um quinto dos Senadores (1/5), na forma regimental, para análise de sua compatibilidade e adequação orçamentária e financeira com o NRF.</w:t>
      </w:r>
    </w:p>
    <w:p w14:paraId="040030FD" w14:textId="45862424" w:rsidR="00C43C44" w:rsidRPr="00C43C44" w:rsidRDefault="00C43C44" w:rsidP="00FA1A13">
      <w:pPr>
        <w:pStyle w:val="05-Pargrafodetexto-CLG"/>
      </w:pPr>
      <w:r w:rsidRPr="00C43C44">
        <w:t xml:space="preserve">Para regulamentar a previsão constitucional, estamos prevendo, por meio dos §§ 7º e </w:t>
      </w:r>
      <w:r w:rsidR="00BC6D14">
        <w:t>9</w:t>
      </w:r>
      <w:r w:rsidRPr="00C43C44">
        <w:t xml:space="preserve">º ao art. 163, que o requerimento, escrito e assinado por um quinto dos Senadores, seja dirigido ao Presidente da Casa, que o despachará, nos termos da alínea </w:t>
      </w:r>
      <w:r w:rsidRPr="00622F25">
        <w:rPr>
          <w:i/>
        </w:rPr>
        <w:t>g</w:t>
      </w:r>
      <w:r w:rsidRPr="00C43C44">
        <w:t xml:space="preserve">, por nós proposta, </w:t>
      </w:r>
      <w:r w:rsidR="00622F25">
        <w:t>d</w:t>
      </w:r>
      <w:r w:rsidRPr="00C43C44">
        <w:t>o inciso II do art. 215 do RISF.</w:t>
      </w:r>
    </w:p>
    <w:p w14:paraId="166403A6" w14:textId="77777777" w:rsidR="00C43C44" w:rsidRPr="00C43C44" w:rsidRDefault="00C43C44" w:rsidP="00FA1A13">
      <w:pPr>
        <w:pStyle w:val="05-Pargrafodetexto-CLG"/>
      </w:pPr>
      <w:r w:rsidRPr="00C43C44">
        <w:t>A suspensão será automática, como quer a Constituição, razão pela qual o requerimento não depende de deliberação da Casa. Os vinte dias contar-se-ão a partir do dia útil subsequente ao do despacho de recebimento do requerimento.</w:t>
      </w:r>
    </w:p>
    <w:p w14:paraId="15ECB174" w14:textId="076E9BE5" w:rsidR="00C43C44" w:rsidRPr="00C43C44" w:rsidRDefault="00622F25" w:rsidP="00FA1A13">
      <w:pPr>
        <w:pStyle w:val="05-Pargrafodetexto-CLG"/>
      </w:pPr>
      <w:r>
        <w:lastRenderedPageBreak/>
        <w:t xml:space="preserve">Contudo, a suspensão da tramitação de proposição que eleve despesa ou reduza receita apenas </w:t>
      </w:r>
      <w:r w:rsidR="00A62BAA">
        <w:t>atingirá aquela que se encontra no Plen</w:t>
      </w:r>
      <w:r w:rsidR="00BC5374">
        <w:t>ário</w:t>
      </w:r>
      <w:r w:rsidR="00962894">
        <w:t xml:space="preserve"> ou em regime terminativo em Comissão</w:t>
      </w:r>
      <w:r w:rsidR="00BC5374">
        <w:t xml:space="preserve"> e </w:t>
      </w:r>
      <w:r w:rsidR="00F81D00">
        <w:t xml:space="preserve">tenha </w:t>
      </w:r>
      <w:r w:rsidR="00BC5374">
        <w:t>recebido</w:t>
      </w:r>
      <w:r w:rsidR="00A62BAA">
        <w:t xml:space="preserve"> proposta de alteração após o exame de compatibilidade e adequação orçamentária e financeira</w:t>
      </w:r>
      <w:r w:rsidR="00C43C44" w:rsidRPr="00C43C44">
        <w:t>.</w:t>
      </w:r>
      <w:r w:rsidR="00A62BAA">
        <w:t xml:space="preserve"> A intenção é não interferir nos trabalhos das comiss</w:t>
      </w:r>
      <w:r w:rsidR="00107B68">
        <w:t>ões, principalmente não obriga</w:t>
      </w:r>
      <w:r w:rsidR="00442B76">
        <w:t xml:space="preserve">ndo a </w:t>
      </w:r>
      <w:r w:rsidR="00107B68">
        <w:t>CAE</w:t>
      </w:r>
      <w:r w:rsidR="00962894">
        <w:t xml:space="preserve"> ou a CCJ, no caso de PEC,</w:t>
      </w:r>
      <w:r w:rsidR="00107B68">
        <w:t xml:space="preserve"> a realizar a </w:t>
      </w:r>
      <w:r w:rsidR="00D748A0">
        <w:t xml:space="preserve">mesma </w:t>
      </w:r>
      <w:r w:rsidR="00107B68">
        <w:t xml:space="preserve">análise diversas vezes desnecessariamente, em contradição à racionalização da tramitação legislativa defendida pelo § </w:t>
      </w:r>
      <w:r w:rsidR="008B65D6">
        <w:t>5</w:t>
      </w:r>
      <w:r w:rsidR="00107B68">
        <w:t>º do art. 99 proposto.</w:t>
      </w:r>
    </w:p>
    <w:p w14:paraId="346060D2" w14:textId="77777777" w:rsidR="00C43C44" w:rsidRPr="00FA1A13" w:rsidRDefault="00C43C44" w:rsidP="00FA1A13">
      <w:pPr>
        <w:widowControl w:val="0"/>
        <w:numPr>
          <w:ilvl w:val="0"/>
          <w:numId w:val="1"/>
        </w:numPr>
        <w:autoSpaceDE w:val="0"/>
        <w:autoSpaceDN w:val="0"/>
        <w:adjustRightInd w:val="0"/>
        <w:spacing w:before="360" w:after="240" w:line="240" w:lineRule="atLeast"/>
        <w:ind w:left="567" w:hanging="567"/>
        <w:jc w:val="both"/>
        <w:rPr>
          <w:rFonts w:ascii="Times New Roman" w:eastAsia="Times New Roman" w:hAnsi="Times New Roman" w:cs="Times New Roman"/>
          <w:sz w:val="28"/>
          <w:szCs w:val="28"/>
          <w:u w:val="single"/>
          <w:lang w:eastAsia="pt-BR"/>
        </w:rPr>
      </w:pPr>
      <w:r w:rsidRPr="00FA1A13">
        <w:rPr>
          <w:rFonts w:ascii="Times New Roman" w:eastAsia="Times New Roman" w:hAnsi="Times New Roman" w:cs="Times New Roman"/>
          <w:sz w:val="28"/>
          <w:szCs w:val="28"/>
          <w:u w:val="single"/>
          <w:lang w:eastAsia="pt-BR"/>
        </w:rPr>
        <w:t>Da impossibilidade de acordo para afastar o exame de compatibilidade e adequação</w:t>
      </w:r>
    </w:p>
    <w:p w14:paraId="706F1C2C" w14:textId="77777777" w:rsidR="00C43C44" w:rsidRPr="00C43C44" w:rsidRDefault="00C43C44" w:rsidP="00FA1A13">
      <w:pPr>
        <w:pStyle w:val="05-Pargrafodetexto-CLG"/>
      </w:pPr>
      <w:r w:rsidRPr="00C43C44">
        <w:t>O art. 412 do RISF prevê que acordo de lideranças ou decisão de Plenário não podem prevalecer sobre norma regimental em sentido contrário, salvo se tomada por unanimidade mediante voto nominal, com quórum mínimo de três quintos (3/5) dos membros da Casa.</w:t>
      </w:r>
    </w:p>
    <w:p w14:paraId="7198B38D" w14:textId="77777777" w:rsidR="00C43C44" w:rsidRPr="00C43C44" w:rsidRDefault="00C43C44" w:rsidP="00FA1A13">
      <w:pPr>
        <w:pStyle w:val="05-Pargrafodetexto-CLG"/>
      </w:pPr>
      <w:r w:rsidRPr="00C43C44">
        <w:lastRenderedPageBreak/>
        <w:t>Estamos prevendo, porém, por meio do § 1º proposto ao art. 412, que, quando se tratar do exame da compatibilidade e adequação orçamentária e financeira, a ressalva regimental não se aplicará, tendo em conta a relevância dessa ques</w:t>
      </w:r>
      <w:r w:rsidR="00D748A0">
        <w:t>tão e sua matriz constitucional</w:t>
      </w:r>
      <w:r w:rsidRPr="00C43C44">
        <w:t>. Ou seja, a fim de que se cumpra rigorosamente a Constituição, não existirá hipótese regimental de dispensa do exame da adequação e compatibilidade das proposições ao ordenamento fiscal.</w:t>
      </w:r>
    </w:p>
    <w:p w14:paraId="0A2D13E6" w14:textId="567EC1A5" w:rsidR="00C43C44" w:rsidRPr="00C43C44" w:rsidRDefault="00C43C44" w:rsidP="00FA1A13">
      <w:pPr>
        <w:pStyle w:val="05-Pargrafodetexto-CLG"/>
      </w:pPr>
      <w:r w:rsidRPr="00C43C44">
        <w:t>Por sua vez, o § 2º proposto ao mesmo art. 412 tem por finalidade impedir a aprovação de matéria considerada incompatível com a legislação orçamentária e financeira. Considera-se nula a deliberação que não atender a este preceito.</w:t>
      </w:r>
    </w:p>
    <w:p w14:paraId="7E6112C7" w14:textId="77777777" w:rsidR="00C43C44" w:rsidRPr="00FA1A13" w:rsidRDefault="00C43C44" w:rsidP="00FA1A13">
      <w:pPr>
        <w:widowControl w:val="0"/>
        <w:numPr>
          <w:ilvl w:val="0"/>
          <w:numId w:val="1"/>
        </w:numPr>
        <w:autoSpaceDE w:val="0"/>
        <w:autoSpaceDN w:val="0"/>
        <w:adjustRightInd w:val="0"/>
        <w:spacing w:before="360" w:after="240" w:line="240" w:lineRule="atLeast"/>
        <w:ind w:left="567" w:hanging="567"/>
        <w:jc w:val="both"/>
        <w:rPr>
          <w:rFonts w:ascii="Times New Roman" w:eastAsia="Times New Roman" w:hAnsi="Times New Roman" w:cs="Times New Roman"/>
          <w:sz w:val="28"/>
          <w:szCs w:val="28"/>
          <w:u w:val="single"/>
          <w:lang w:eastAsia="pt-BR"/>
        </w:rPr>
      </w:pPr>
      <w:r w:rsidRPr="00FA1A13">
        <w:rPr>
          <w:rFonts w:ascii="Times New Roman" w:eastAsia="Times New Roman" w:hAnsi="Times New Roman" w:cs="Times New Roman"/>
          <w:sz w:val="28"/>
          <w:szCs w:val="28"/>
          <w:u w:val="single"/>
          <w:lang w:eastAsia="pt-BR"/>
        </w:rPr>
        <w:t>Da análise de proposta de emenda à Constituição</w:t>
      </w:r>
    </w:p>
    <w:p w14:paraId="6D1A4D48" w14:textId="77777777" w:rsidR="00C43C44" w:rsidRPr="00C43C44" w:rsidRDefault="00C43C44" w:rsidP="00FA1A13">
      <w:pPr>
        <w:pStyle w:val="05-Pargrafodetexto-CLG"/>
      </w:pPr>
      <w:r w:rsidRPr="00C43C44">
        <w:t>A proposta de emenda à Constituição tem tramitação especial prevista no RISF (</w:t>
      </w:r>
      <w:proofErr w:type="spellStart"/>
      <w:r w:rsidRPr="00C43C44">
        <w:t>arts</w:t>
      </w:r>
      <w:proofErr w:type="spellEnd"/>
      <w:r w:rsidRPr="00C43C44">
        <w:t xml:space="preserve">. 354 a 373). Nos termos atuais do Regimento e tendo em vista a competência ordinária do Plenário (art. 60, § 2º, </w:t>
      </w:r>
      <w:r w:rsidR="00C7192C">
        <w:t xml:space="preserve">da </w:t>
      </w:r>
      <w:r w:rsidRPr="00C43C44">
        <w:t>C</w:t>
      </w:r>
      <w:r w:rsidR="00C7192C">
        <w:t>onstituição</w:t>
      </w:r>
      <w:r w:rsidRPr="00C43C44">
        <w:t xml:space="preserve">), a única Comissão ouvida sobre PEC, </w:t>
      </w:r>
      <w:r w:rsidR="00C7192C">
        <w:t xml:space="preserve">focada sobretudo nos </w:t>
      </w:r>
      <w:r w:rsidRPr="00C43C44">
        <w:t>aspectos da constitucionalidade</w:t>
      </w:r>
      <w:r w:rsidR="00C7192C">
        <w:t xml:space="preserve"> da matéria</w:t>
      </w:r>
      <w:r w:rsidRPr="00C43C44">
        <w:t>, é a Comissão de Constituição, Justiça e Cidadania</w:t>
      </w:r>
      <w:r w:rsidR="0040655A">
        <w:t xml:space="preserve"> – CCJ.</w:t>
      </w:r>
    </w:p>
    <w:p w14:paraId="2513C010" w14:textId="580D7438" w:rsidR="00C43C44" w:rsidRPr="00C43C44" w:rsidRDefault="00C43C44" w:rsidP="00FA1A13">
      <w:pPr>
        <w:pStyle w:val="05-Pargrafodetexto-CLG"/>
      </w:pPr>
      <w:r w:rsidRPr="00C43C44">
        <w:lastRenderedPageBreak/>
        <w:t xml:space="preserve">Com vistas a atender aos mandamentos inseridos nos </w:t>
      </w:r>
      <w:proofErr w:type="spellStart"/>
      <w:r w:rsidRPr="00C43C44">
        <w:t>arts</w:t>
      </w:r>
      <w:proofErr w:type="spellEnd"/>
      <w:r w:rsidRPr="00C43C44">
        <w:t>. 113 e 114 do ADCT pelo NRF, estamos propondo, por meio da inserção d</w:t>
      </w:r>
      <w:r w:rsidR="00895EB4">
        <w:t>e § 2º a</w:t>
      </w:r>
      <w:r w:rsidRPr="00C43C44">
        <w:t xml:space="preserve">o art. 356 </w:t>
      </w:r>
      <w:r w:rsidR="00895EB4">
        <w:t>d</w:t>
      </w:r>
      <w:r w:rsidRPr="00C43C44">
        <w:t xml:space="preserve">o Regimento, que a proposta de emenda constitucional que preveja a criação ou aumento de despesa obrigatória ou renúncia de receita tenha </w:t>
      </w:r>
      <w:r w:rsidR="00C80093">
        <w:t>análise específica acerca</w:t>
      </w:r>
      <w:r w:rsidRPr="00C43C44">
        <w:t xml:space="preserve"> da</w:t>
      </w:r>
      <w:r w:rsidR="00C80093">
        <w:t xml:space="preserve"> sua</w:t>
      </w:r>
      <w:r w:rsidRPr="00C43C44">
        <w:t xml:space="preserve"> compatibilidade e adequação orçamentária e financeira. Nesse sentido, estamos garantindo integridade e eficiência ao mecanismo de análise de adequação e compatibilidade das proposições que almejem, direta ou indiretamente, alterar matéria financeira. </w:t>
      </w:r>
    </w:p>
    <w:p w14:paraId="232088CB" w14:textId="77777777" w:rsidR="00C43C44" w:rsidRPr="00C43C44" w:rsidRDefault="00C43C44" w:rsidP="00FA1A13">
      <w:pPr>
        <w:pStyle w:val="05-Pargrafodetexto-CLG"/>
      </w:pPr>
      <w:r w:rsidRPr="00C43C44">
        <w:t xml:space="preserve">Estas, em apertada síntese, </w:t>
      </w:r>
      <w:r w:rsidR="00F81D00">
        <w:t xml:space="preserve">são </w:t>
      </w:r>
      <w:r w:rsidRPr="00C43C44">
        <w:t>as alterações que ora propomos ao nosso Regimento.</w:t>
      </w:r>
    </w:p>
    <w:p w14:paraId="322C8D5F" w14:textId="44083E3D" w:rsidR="00C43C44" w:rsidRPr="00C43C44" w:rsidRDefault="00C43C44" w:rsidP="00FA1A13">
      <w:pPr>
        <w:pStyle w:val="05-Pargrafodetexto-CLG"/>
      </w:pPr>
      <w:r w:rsidRPr="00C43C44">
        <w:t>Enfim Senhoras e Senhores Senadores, temos três certezas: a primeira, de que a situação fiscal do nosso país é grave e, olhando apenas pelo seu aspecto deficitário, já dura por quatro anos (de 2014 a 2017) e, segundo dados recentes do próprio Governo, com projeção de duração até pelo menos 202</w:t>
      </w:r>
      <w:r w:rsidR="00C80093">
        <w:t>1</w:t>
      </w:r>
      <w:r w:rsidRPr="00C43C44">
        <w:t xml:space="preserve">; a segunda, de que nenhum órgão, empresa, instituição ou ente estatal sobrevive em dívida contínua, caso contrário configurar-se-ia um novo fenômeno que subverteria a </w:t>
      </w:r>
      <w:r w:rsidRPr="00C43C44">
        <w:lastRenderedPageBreak/>
        <w:t>própria lógica consagrada que permite a preservação dos entes econômicos, qual seja</w:t>
      </w:r>
      <w:r w:rsidR="00F81D00">
        <w:t>,</w:t>
      </w:r>
      <w:r w:rsidRPr="00C43C44">
        <w:t xml:space="preserve"> a do equilíbrio entre receitas e despesas; e a terceira, de que o Parlamento não tem cumprido o seu papel adequadamente, tanto no aspecto da fiscalização que lhe compete, quanto no do zelo na aprovação de leis que implicam acréscimo nos gastos ou redução nas receitas.</w:t>
      </w:r>
    </w:p>
    <w:p w14:paraId="723833C6" w14:textId="77777777" w:rsidR="00C43C44" w:rsidRPr="00C43C44" w:rsidRDefault="00C43C44" w:rsidP="00FA1A13">
      <w:pPr>
        <w:pStyle w:val="05-Pargrafodetexto-CLG"/>
      </w:pPr>
      <w:r w:rsidRPr="00C43C44">
        <w:t>Esta nossa proposição atua basicamente na última certeza, para reverter a inércia parlamentar, mas tem o potencial de ajustar positivamente as duas outras. Isto porque o controle do crescimento dos dispêndios ou da diminuição das receitas, mediante procedimento rigoroso e prévio à aprovação de normas com impacto fiscal, permite corrigir o persistente déficit do Erário e a manutenção do próprio Estado, tendo em vista a garantia do equilíbrio de suas contas.</w:t>
      </w:r>
    </w:p>
    <w:p w14:paraId="712730F5" w14:textId="05EA6687" w:rsidR="00C43C44" w:rsidRPr="00C43C44" w:rsidRDefault="00C43C44" w:rsidP="00FA1A13">
      <w:pPr>
        <w:pStyle w:val="05-Pargrafodetexto-CLG"/>
        <w:rPr>
          <w:rFonts w:cs="Arial"/>
          <w:sz w:val="20"/>
        </w:rPr>
      </w:pPr>
      <w:r w:rsidRPr="00C43C44">
        <w:t>Estamos convictos de que é proposição necessária ao Congresso Nacional e ao País, razão pela qual conclamamos os nobres pares ao debate, para aperfeiçoamento da matéria e sua imediata e final aprovação</w:t>
      </w:r>
      <w:r w:rsidR="00E31EB8">
        <w:t>.</w:t>
      </w:r>
    </w:p>
    <w:p w14:paraId="6B893812" w14:textId="77777777" w:rsidR="00E31EB8" w:rsidRDefault="00E31EB8" w:rsidP="00E31EB8">
      <w:pPr>
        <w:pStyle w:val="10-IdentificaoParlamentar-CLG"/>
        <w:ind w:left="1418"/>
      </w:pPr>
    </w:p>
    <w:p w14:paraId="64C3A67A" w14:textId="2B1BFB6C" w:rsidR="00E31EB8" w:rsidRDefault="00E31EB8" w:rsidP="00E31EB8">
      <w:pPr>
        <w:pStyle w:val="10-IdentificaoParlamentar-CLG"/>
        <w:ind w:left="1418"/>
        <w:rPr>
          <w:caps/>
        </w:rPr>
      </w:pPr>
      <w:r>
        <w:t>Sala da Comissão</w:t>
      </w:r>
      <w:r>
        <w:rPr>
          <w:caps/>
        </w:rPr>
        <w:t>,</w:t>
      </w:r>
    </w:p>
    <w:p w14:paraId="0A390294" w14:textId="77777777" w:rsidR="00E31EB8" w:rsidRDefault="00E31EB8" w:rsidP="00E31EB8">
      <w:pPr>
        <w:pStyle w:val="10-IdentificaoParlamentar-CLG"/>
        <w:ind w:left="1418"/>
        <w:rPr>
          <w:caps/>
        </w:rPr>
      </w:pPr>
    </w:p>
    <w:p w14:paraId="48249AF1" w14:textId="77777777" w:rsidR="00E31EB8" w:rsidRDefault="00E31EB8" w:rsidP="00E31EB8">
      <w:pPr>
        <w:pStyle w:val="10-IdentificaoParlamentar-CLG"/>
        <w:ind w:left="1418"/>
        <w:rPr>
          <w:caps/>
        </w:rPr>
      </w:pPr>
    </w:p>
    <w:p w14:paraId="2249FBDA" w14:textId="77777777" w:rsidR="00E31EB8" w:rsidRDefault="00E31EB8" w:rsidP="00E31EB8">
      <w:pPr>
        <w:pStyle w:val="10-IdentificaoParlamentar-CLG"/>
        <w:ind w:left="1418"/>
        <w:jc w:val="right"/>
      </w:pPr>
    </w:p>
    <w:p w14:paraId="0B4FA7C0" w14:textId="77777777" w:rsidR="00E31EB8" w:rsidRDefault="00E31EB8" w:rsidP="00E31EB8">
      <w:pPr>
        <w:pStyle w:val="10-IdentificaoParlamentar-CLG"/>
        <w:ind w:left="1418"/>
        <w:jc w:val="right"/>
      </w:pPr>
    </w:p>
    <w:p w14:paraId="3F58EBB7" w14:textId="09E32428" w:rsidR="00E31EB8" w:rsidRPr="004921FD" w:rsidRDefault="00E31EB8" w:rsidP="00E31EB8">
      <w:pPr>
        <w:pStyle w:val="10-IdentificaoParlamentar-CLG"/>
        <w:ind w:left="1418"/>
        <w:jc w:val="center"/>
        <w:rPr>
          <w:caps/>
        </w:rPr>
      </w:pPr>
      <w:r>
        <w:t>Presidente</w:t>
      </w:r>
    </w:p>
    <w:sectPr w:rsidR="00E31EB8" w:rsidRPr="004921FD" w:rsidSect="000D5FCB">
      <w:headerReference w:type="even" r:id="rId9"/>
      <w:head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28280" w14:textId="77777777" w:rsidR="008A2B61" w:rsidRDefault="008A2B61" w:rsidP="000D5FCB">
      <w:pPr>
        <w:spacing w:after="0" w:line="240" w:lineRule="auto"/>
      </w:pPr>
      <w:r>
        <w:separator/>
      </w:r>
    </w:p>
  </w:endnote>
  <w:endnote w:type="continuationSeparator" w:id="0">
    <w:p w14:paraId="1D63DC94" w14:textId="77777777" w:rsidR="008A2B61" w:rsidRDefault="008A2B61" w:rsidP="000D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136DC" w14:textId="77777777" w:rsidR="008A2B61" w:rsidRDefault="008A2B61" w:rsidP="000D5FCB">
      <w:pPr>
        <w:spacing w:after="0" w:line="240" w:lineRule="auto"/>
      </w:pPr>
      <w:r>
        <w:separator/>
      </w:r>
    </w:p>
  </w:footnote>
  <w:footnote w:type="continuationSeparator" w:id="0">
    <w:p w14:paraId="7355CA6D" w14:textId="77777777" w:rsidR="008A2B61" w:rsidRDefault="008A2B61" w:rsidP="000D5F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25CCD" w14:textId="77777777" w:rsidR="008E5D12" w:rsidRDefault="00912DD4" w:rsidP="000D5FCB">
    <w:pPr>
      <w:pStyle w:val="Cabealho"/>
      <w:framePr w:wrap="around" w:vAnchor="text" w:hAnchor="margin" w:xAlign="right" w:y="1"/>
      <w:rPr>
        <w:rStyle w:val="Nmerodepgina"/>
      </w:rPr>
    </w:pPr>
    <w:r>
      <w:rPr>
        <w:rStyle w:val="Nmerodepgina"/>
      </w:rPr>
      <w:fldChar w:fldCharType="begin"/>
    </w:r>
    <w:r w:rsidR="00744BB4">
      <w:rPr>
        <w:rStyle w:val="Nmerodepgina"/>
      </w:rPr>
      <w:instrText xml:space="preserve">PAGE  </w:instrText>
    </w:r>
    <w:r>
      <w:rPr>
        <w:rStyle w:val="Nmerodepgina"/>
      </w:rPr>
      <w:fldChar w:fldCharType="end"/>
    </w:r>
  </w:p>
  <w:p w14:paraId="079F1C96" w14:textId="77777777" w:rsidR="008E5D12" w:rsidRDefault="008E5D12">
    <w:pPr>
      <w:pStyle w:val="Cabealho"/>
      <w:ind w:right="360"/>
    </w:pPr>
  </w:p>
  <w:p w14:paraId="7E18607C" w14:textId="77777777" w:rsidR="008E5D12" w:rsidRDefault="008E5D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54528" w14:textId="77777777" w:rsidR="008E5D12" w:rsidRDefault="00912DD4" w:rsidP="000D5FCB">
    <w:pPr>
      <w:pStyle w:val="Cabealho"/>
      <w:framePr w:wrap="around" w:vAnchor="text" w:hAnchor="margin" w:xAlign="right" w:y="1"/>
      <w:rPr>
        <w:rStyle w:val="Nmerodepgina"/>
      </w:rPr>
    </w:pPr>
    <w:r>
      <w:rPr>
        <w:rStyle w:val="Nmerodepgina"/>
      </w:rPr>
      <w:fldChar w:fldCharType="begin"/>
    </w:r>
    <w:r w:rsidR="00744BB4">
      <w:rPr>
        <w:rStyle w:val="Nmerodepgina"/>
      </w:rPr>
      <w:instrText xml:space="preserve">PAGE  </w:instrText>
    </w:r>
    <w:r>
      <w:rPr>
        <w:rStyle w:val="Nmerodepgina"/>
      </w:rPr>
      <w:fldChar w:fldCharType="separate"/>
    </w:r>
    <w:r w:rsidR="00E31EB8">
      <w:rPr>
        <w:rStyle w:val="Nmerodepgina"/>
        <w:noProof/>
      </w:rPr>
      <w:t>13</w:t>
    </w:r>
    <w:r>
      <w:rPr>
        <w:rStyle w:val="Nmerodepgina"/>
      </w:rPr>
      <w:fldChar w:fldCharType="end"/>
    </w:r>
  </w:p>
  <w:p w14:paraId="394ADEF5" w14:textId="77777777" w:rsidR="008E5D12" w:rsidRDefault="008E5D12">
    <w:pPr>
      <w:pStyle w:val="Cabealho"/>
      <w:ind w:right="360"/>
    </w:pPr>
  </w:p>
  <w:p w14:paraId="0858252A" w14:textId="77777777" w:rsidR="008E5D12" w:rsidRDefault="008E5D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D3BEA"/>
    <w:multiLevelType w:val="hybridMultilevel"/>
    <w:tmpl w:val="7E38A59E"/>
    <w:lvl w:ilvl="0" w:tplc="593A8AB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CB"/>
    <w:rsid w:val="00023BFA"/>
    <w:rsid w:val="00023CA1"/>
    <w:rsid w:val="00023CEE"/>
    <w:rsid w:val="00024960"/>
    <w:rsid w:val="00026C3C"/>
    <w:rsid w:val="00034D01"/>
    <w:rsid w:val="00037551"/>
    <w:rsid w:val="0004602A"/>
    <w:rsid w:val="00063D19"/>
    <w:rsid w:val="00080E21"/>
    <w:rsid w:val="00082F38"/>
    <w:rsid w:val="00083756"/>
    <w:rsid w:val="00084DB5"/>
    <w:rsid w:val="00093DC7"/>
    <w:rsid w:val="000966B3"/>
    <w:rsid w:val="000A00AF"/>
    <w:rsid w:val="000B39BE"/>
    <w:rsid w:val="000B4BBA"/>
    <w:rsid w:val="000C47CE"/>
    <w:rsid w:val="000C6886"/>
    <w:rsid w:val="000D2733"/>
    <w:rsid w:val="000D5FCB"/>
    <w:rsid w:val="000D6807"/>
    <w:rsid w:val="000E2105"/>
    <w:rsid w:val="000E3FB9"/>
    <w:rsid w:val="000F0292"/>
    <w:rsid w:val="000F31B2"/>
    <w:rsid w:val="00107B68"/>
    <w:rsid w:val="00126A75"/>
    <w:rsid w:val="0013381A"/>
    <w:rsid w:val="001364EA"/>
    <w:rsid w:val="0014058C"/>
    <w:rsid w:val="001449DF"/>
    <w:rsid w:val="0015360C"/>
    <w:rsid w:val="00166619"/>
    <w:rsid w:val="00172156"/>
    <w:rsid w:val="00176559"/>
    <w:rsid w:val="00177B23"/>
    <w:rsid w:val="00180FB4"/>
    <w:rsid w:val="00182D66"/>
    <w:rsid w:val="00186956"/>
    <w:rsid w:val="00191B19"/>
    <w:rsid w:val="0019646D"/>
    <w:rsid w:val="001A1337"/>
    <w:rsid w:val="001A403D"/>
    <w:rsid w:val="001A6F36"/>
    <w:rsid w:val="001B0647"/>
    <w:rsid w:val="001B15EB"/>
    <w:rsid w:val="001D534F"/>
    <w:rsid w:val="001E12AF"/>
    <w:rsid w:val="001E184F"/>
    <w:rsid w:val="001F0004"/>
    <w:rsid w:val="001F0382"/>
    <w:rsid w:val="00205B47"/>
    <w:rsid w:val="00213FEE"/>
    <w:rsid w:val="002142BA"/>
    <w:rsid w:val="0022137A"/>
    <w:rsid w:val="002459A7"/>
    <w:rsid w:val="00252F2F"/>
    <w:rsid w:val="00275D0E"/>
    <w:rsid w:val="00282EEB"/>
    <w:rsid w:val="00294836"/>
    <w:rsid w:val="00296E5B"/>
    <w:rsid w:val="002A1AEF"/>
    <w:rsid w:val="002A3F6D"/>
    <w:rsid w:val="002A5164"/>
    <w:rsid w:val="002B0983"/>
    <w:rsid w:val="002B0CFB"/>
    <w:rsid w:val="002B666A"/>
    <w:rsid w:val="002B7D98"/>
    <w:rsid w:val="002C275E"/>
    <w:rsid w:val="002E6259"/>
    <w:rsid w:val="002E7B14"/>
    <w:rsid w:val="002F3A45"/>
    <w:rsid w:val="002F79A0"/>
    <w:rsid w:val="00300EA3"/>
    <w:rsid w:val="0030493B"/>
    <w:rsid w:val="00311B0B"/>
    <w:rsid w:val="00312C22"/>
    <w:rsid w:val="0031686C"/>
    <w:rsid w:val="003173C6"/>
    <w:rsid w:val="00320608"/>
    <w:rsid w:val="003278C4"/>
    <w:rsid w:val="00327E93"/>
    <w:rsid w:val="00336CDB"/>
    <w:rsid w:val="00352BC2"/>
    <w:rsid w:val="00355F9C"/>
    <w:rsid w:val="003717AE"/>
    <w:rsid w:val="003805B8"/>
    <w:rsid w:val="00386648"/>
    <w:rsid w:val="00390ED1"/>
    <w:rsid w:val="00392337"/>
    <w:rsid w:val="00396EC6"/>
    <w:rsid w:val="003C273A"/>
    <w:rsid w:val="003C453F"/>
    <w:rsid w:val="003E0876"/>
    <w:rsid w:val="003E4904"/>
    <w:rsid w:val="003F6676"/>
    <w:rsid w:val="0040655A"/>
    <w:rsid w:val="00425FF4"/>
    <w:rsid w:val="00426056"/>
    <w:rsid w:val="00430039"/>
    <w:rsid w:val="0043620D"/>
    <w:rsid w:val="00442B76"/>
    <w:rsid w:val="00446689"/>
    <w:rsid w:val="00464B5D"/>
    <w:rsid w:val="0046704F"/>
    <w:rsid w:val="00474671"/>
    <w:rsid w:val="004903B5"/>
    <w:rsid w:val="004921FD"/>
    <w:rsid w:val="004B20DB"/>
    <w:rsid w:val="004B57D0"/>
    <w:rsid w:val="004B62A8"/>
    <w:rsid w:val="004D1029"/>
    <w:rsid w:val="004E17E5"/>
    <w:rsid w:val="004E4972"/>
    <w:rsid w:val="004F15FD"/>
    <w:rsid w:val="004F76B2"/>
    <w:rsid w:val="00533775"/>
    <w:rsid w:val="00535B59"/>
    <w:rsid w:val="0053713B"/>
    <w:rsid w:val="00537E3E"/>
    <w:rsid w:val="00542849"/>
    <w:rsid w:val="0055610A"/>
    <w:rsid w:val="00556AE4"/>
    <w:rsid w:val="00566062"/>
    <w:rsid w:val="00574FEE"/>
    <w:rsid w:val="005754F2"/>
    <w:rsid w:val="00585226"/>
    <w:rsid w:val="0059291D"/>
    <w:rsid w:val="00592F92"/>
    <w:rsid w:val="00597525"/>
    <w:rsid w:val="005A13E4"/>
    <w:rsid w:val="005B04AD"/>
    <w:rsid w:val="005B7AFD"/>
    <w:rsid w:val="005C65B2"/>
    <w:rsid w:val="005D131B"/>
    <w:rsid w:val="005E2384"/>
    <w:rsid w:val="005E3D3A"/>
    <w:rsid w:val="00620957"/>
    <w:rsid w:val="00622F25"/>
    <w:rsid w:val="00642261"/>
    <w:rsid w:val="006471B7"/>
    <w:rsid w:val="006513A1"/>
    <w:rsid w:val="0066002A"/>
    <w:rsid w:val="00681DAB"/>
    <w:rsid w:val="0068486A"/>
    <w:rsid w:val="00685B8E"/>
    <w:rsid w:val="00685D2A"/>
    <w:rsid w:val="00690879"/>
    <w:rsid w:val="00692497"/>
    <w:rsid w:val="006927A9"/>
    <w:rsid w:val="0069639D"/>
    <w:rsid w:val="006A0ED5"/>
    <w:rsid w:val="006A6D66"/>
    <w:rsid w:val="006B6608"/>
    <w:rsid w:val="006B72E5"/>
    <w:rsid w:val="006C101B"/>
    <w:rsid w:val="006D040C"/>
    <w:rsid w:val="006D4F10"/>
    <w:rsid w:val="006E5165"/>
    <w:rsid w:val="006F0D86"/>
    <w:rsid w:val="006F788B"/>
    <w:rsid w:val="00707651"/>
    <w:rsid w:val="00717437"/>
    <w:rsid w:val="00721B47"/>
    <w:rsid w:val="00735570"/>
    <w:rsid w:val="007441BF"/>
    <w:rsid w:val="00744BB4"/>
    <w:rsid w:val="00773644"/>
    <w:rsid w:val="007833BD"/>
    <w:rsid w:val="00791B1E"/>
    <w:rsid w:val="00794E18"/>
    <w:rsid w:val="007A1FF1"/>
    <w:rsid w:val="007A30E5"/>
    <w:rsid w:val="007A31DE"/>
    <w:rsid w:val="007A35C7"/>
    <w:rsid w:val="007B06F4"/>
    <w:rsid w:val="007B11EB"/>
    <w:rsid w:val="007B3B63"/>
    <w:rsid w:val="007B70BA"/>
    <w:rsid w:val="007C44FC"/>
    <w:rsid w:val="007D30C4"/>
    <w:rsid w:val="007F2D69"/>
    <w:rsid w:val="007F7D0A"/>
    <w:rsid w:val="00805FC2"/>
    <w:rsid w:val="0081074A"/>
    <w:rsid w:val="008113D2"/>
    <w:rsid w:val="00820514"/>
    <w:rsid w:val="00822039"/>
    <w:rsid w:val="00823D4F"/>
    <w:rsid w:val="00840007"/>
    <w:rsid w:val="00856421"/>
    <w:rsid w:val="00856C04"/>
    <w:rsid w:val="00872507"/>
    <w:rsid w:val="00872DA6"/>
    <w:rsid w:val="00887E4F"/>
    <w:rsid w:val="00893CB3"/>
    <w:rsid w:val="00895EB4"/>
    <w:rsid w:val="008A2B61"/>
    <w:rsid w:val="008B5CAF"/>
    <w:rsid w:val="008B65D6"/>
    <w:rsid w:val="008B78AA"/>
    <w:rsid w:val="008C1732"/>
    <w:rsid w:val="008C1E2E"/>
    <w:rsid w:val="008C4CCF"/>
    <w:rsid w:val="008D5BEE"/>
    <w:rsid w:val="008E5D12"/>
    <w:rsid w:val="008E7973"/>
    <w:rsid w:val="008F2B7D"/>
    <w:rsid w:val="008F72EE"/>
    <w:rsid w:val="009011DE"/>
    <w:rsid w:val="00912DD4"/>
    <w:rsid w:val="00913719"/>
    <w:rsid w:val="00920283"/>
    <w:rsid w:val="00932E14"/>
    <w:rsid w:val="00950A3A"/>
    <w:rsid w:val="00962894"/>
    <w:rsid w:val="00963265"/>
    <w:rsid w:val="00974C8C"/>
    <w:rsid w:val="00995020"/>
    <w:rsid w:val="009A0464"/>
    <w:rsid w:val="009B54EC"/>
    <w:rsid w:val="009C28AB"/>
    <w:rsid w:val="009D36B8"/>
    <w:rsid w:val="009D7825"/>
    <w:rsid w:val="009E2AF3"/>
    <w:rsid w:val="00A01632"/>
    <w:rsid w:val="00A05C3D"/>
    <w:rsid w:val="00A13151"/>
    <w:rsid w:val="00A24DAB"/>
    <w:rsid w:val="00A31E82"/>
    <w:rsid w:val="00A51731"/>
    <w:rsid w:val="00A611AF"/>
    <w:rsid w:val="00A62BAA"/>
    <w:rsid w:val="00A64D57"/>
    <w:rsid w:val="00A806A6"/>
    <w:rsid w:val="00A82384"/>
    <w:rsid w:val="00A83417"/>
    <w:rsid w:val="00A9555B"/>
    <w:rsid w:val="00AA21AD"/>
    <w:rsid w:val="00AB00B6"/>
    <w:rsid w:val="00AC01CF"/>
    <w:rsid w:val="00AC7B70"/>
    <w:rsid w:val="00AD7541"/>
    <w:rsid w:val="00AF2777"/>
    <w:rsid w:val="00B050F8"/>
    <w:rsid w:val="00B23552"/>
    <w:rsid w:val="00B369BF"/>
    <w:rsid w:val="00B37BCE"/>
    <w:rsid w:val="00B46550"/>
    <w:rsid w:val="00B64691"/>
    <w:rsid w:val="00B806AA"/>
    <w:rsid w:val="00B87084"/>
    <w:rsid w:val="00B9089E"/>
    <w:rsid w:val="00B933F0"/>
    <w:rsid w:val="00B94C76"/>
    <w:rsid w:val="00BA246F"/>
    <w:rsid w:val="00BB0340"/>
    <w:rsid w:val="00BB1B85"/>
    <w:rsid w:val="00BC4FED"/>
    <w:rsid w:val="00BC5374"/>
    <w:rsid w:val="00BC5BA3"/>
    <w:rsid w:val="00BC6D14"/>
    <w:rsid w:val="00BD26E9"/>
    <w:rsid w:val="00BD71C2"/>
    <w:rsid w:val="00BE1EC7"/>
    <w:rsid w:val="00BF29F2"/>
    <w:rsid w:val="00C13F0D"/>
    <w:rsid w:val="00C1739D"/>
    <w:rsid w:val="00C202CA"/>
    <w:rsid w:val="00C203ED"/>
    <w:rsid w:val="00C21C65"/>
    <w:rsid w:val="00C23050"/>
    <w:rsid w:val="00C27448"/>
    <w:rsid w:val="00C30B6F"/>
    <w:rsid w:val="00C31182"/>
    <w:rsid w:val="00C36344"/>
    <w:rsid w:val="00C41CE2"/>
    <w:rsid w:val="00C43C44"/>
    <w:rsid w:val="00C447F5"/>
    <w:rsid w:val="00C455C1"/>
    <w:rsid w:val="00C46497"/>
    <w:rsid w:val="00C47DB2"/>
    <w:rsid w:val="00C51AA3"/>
    <w:rsid w:val="00C52E57"/>
    <w:rsid w:val="00C56A89"/>
    <w:rsid w:val="00C56D70"/>
    <w:rsid w:val="00C645CA"/>
    <w:rsid w:val="00C6574B"/>
    <w:rsid w:val="00C7192C"/>
    <w:rsid w:val="00C74429"/>
    <w:rsid w:val="00C747D9"/>
    <w:rsid w:val="00C80093"/>
    <w:rsid w:val="00C821A5"/>
    <w:rsid w:val="00C83E1F"/>
    <w:rsid w:val="00C84168"/>
    <w:rsid w:val="00C86A99"/>
    <w:rsid w:val="00C96089"/>
    <w:rsid w:val="00CA6B84"/>
    <w:rsid w:val="00CB365D"/>
    <w:rsid w:val="00CB482D"/>
    <w:rsid w:val="00CB5ED7"/>
    <w:rsid w:val="00CC607E"/>
    <w:rsid w:val="00CC7F02"/>
    <w:rsid w:val="00CD419C"/>
    <w:rsid w:val="00CE6491"/>
    <w:rsid w:val="00CF01D1"/>
    <w:rsid w:val="00D11F12"/>
    <w:rsid w:val="00D1683F"/>
    <w:rsid w:val="00D200DE"/>
    <w:rsid w:val="00D213B6"/>
    <w:rsid w:val="00D3490E"/>
    <w:rsid w:val="00D43004"/>
    <w:rsid w:val="00D47D97"/>
    <w:rsid w:val="00D61354"/>
    <w:rsid w:val="00D748A0"/>
    <w:rsid w:val="00D9130A"/>
    <w:rsid w:val="00D91938"/>
    <w:rsid w:val="00DA0A61"/>
    <w:rsid w:val="00DD5AD9"/>
    <w:rsid w:val="00DE10A3"/>
    <w:rsid w:val="00DE23BF"/>
    <w:rsid w:val="00DE2E28"/>
    <w:rsid w:val="00DE70FB"/>
    <w:rsid w:val="00DF7042"/>
    <w:rsid w:val="00E05EFA"/>
    <w:rsid w:val="00E07994"/>
    <w:rsid w:val="00E12D56"/>
    <w:rsid w:val="00E140A7"/>
    <w:rsid w:val="00E14975"/>
    <w:rsid w:val="00E20AB2"/>
    <w:rsid w:val="00E2576F"/>
    <w:rsid w:val="00E31EB8"/>
    <w:rsid w:val="00E35E23"/>
    <w:rsid w:val="00E40F1F"/>
    <w:rsid w:val="00E43B75"/>
    <w:rsid w:val="00E44D14"/>
    <w:rsid w:val="00E501D2"/>
    <w:rsid w:val="00E502D7"/>
    <w:rsid w:val="00E51AB7"/>
    <w:rsid w:val="00E6347F"/>
    <w:rsid w:val="00E654D1"/>
    <w:rsid w:val="00E6695C"/>
    <w:rsid w:val="00E66EFB"/>
    <w:rsid w:val="00E6746D"/>
    <w:rsid w:val="00E7064A"/>
    <w:rsid w:val="00E7132E"/>
    <w:rsid w:val="00E738A2"/>
    <w:rsid w:val="00E747D4"/>
    <w:rsid w:val="00E835C8"/>
    <w:rsid w:val="00E93B0A"/>
    <w:rsid w:val="00E9755C"/>
    <w:rsid w:val="00EA5BB9"/>
    <w:rsid w:val="00EA73DF"/>
    <w:rsid w:val="00EB286F"/>
    <w:rsid w:val="00EC111F"/>
    <w:rsid w:val="00EC125E"/>
    <w:rsid w:val="00EE372B"/>
    <w:rsid w:val="00EE54AB"/>
    <w:rsid w:val="00EE723B"/>
    <w:rsid w:val="00F00C14"/>
    <w:rsid w:val="00F15DB2"/>
    <w:rsid w:val="00F34A76"/>
    <w:rsid w:val="00F3581A"/>
    <w:rsid w:val="00F50C30"/>
    <w:rsid w:val="00F56077"/>
    <w:rsid w:val="00F57823"/>
    <w:rsid w:val="00F60D55"/>
    <w:rsid w:val="00F75D80"/>
    <w:rsid w:val="00F80CA0"/>
    <w:rsid w:val="00F81D00"/>
    <w:rsid w:val="00F920C0"/>
    <w:rsid w:val="00F92A46"/>
    <w:rsid w:val="00FA1A13"/>
    <w:rsid w:val="00FA3B55"/>
    <w:rsid w:val="00FB6FFD"/>
    <w:rsid w:val="00FC2A5F"/>
    <w:rsid w:val="00FC490B"/>
    <w:rsid w:val="00FF1F81"/>
    <w:rsid w:val="00FF5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9B1C0"/>
  <w15:docId w15:val="{12E286CA-9005-4284-AA72-4B0B57CD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2B0CFB"/>
  </w:style>
  <w:style w:type="paragraph" w:styleId="Ttulo2">
    <w:name w:val="heading 2"/>
    <w:basedOn w:val="Normal"/>
    <w:next w:val="Normal"/>
    <w:link w:val="Ttulo2Char"/>
    <w:uiPriority w:val="9"/>
    <w:semiHidden/>
    <w:unhideWhenUsed/>
    <w:qFormat/>
    <w:rsid w:val="000D5F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0D5FC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D5FCB"/>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2B0CFB"/>
    <w:rPr>
      <w:rFonts w:ascii="Times New Roman" w:eastAsia="Times New Roman" w:hAnsi="Times New Roman" w:cs="Times New Roman"/>
      <w:sz w:val="24"/>
      <w:szCs w:val="24"/>
      <w:lang w:eastAsia="pt-BR"/>
    </w:rPr>
  </w:style>
  <w:style w:type="paragraph" w:styleId="Rodap">
    <w:name w:val="footer"/>
    <w:basedOn w:val="Normal"/>
    <w:link w:val="RodapChar"/>
    <w:unhideWhenUsed/>
    <w:rsid w:val="000D5FCB"/>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2B0CFB"/>
    <w:rPr>
      <w:rFonts w:ascii="Times New Roman" w:eastAsia="Times New Roman" w:hAnsi="Times New Roman" w:cs="Times New Roman"/>
      <w:sz w:val="24"/>
      <w:szCs w:val="24"/>
      <w:lang w:eastAsia="pt-BR"/>
    </w:rPr>
  </w:style>
  <w:style w:type="character" w:styleId="Nmerodepgina">
    <w:name w:val="page number"/>
    <w:basedOn w:val="Fontepargpadro"/>
    <w:unhideWhenUsed/>
    <w:rsid w:val="000D5FCB"/>
  </w:style>
  <w:style w:type="paragraph" w:customStyle="1" w:styleId="01-Minuta-CLG">
    <w:name w:val="01 - Minuta - CLG"/>
    <w:link w:val="01-Minuta-CLGChar"/>
    <w:rsid w:val="000D5FCB"/>
    <w:pPr>
      <w:spacing w:after="180" w:line="240" w:lineRule="auto"/>
      <w:jc w:val="center"/>
    </w:pPr>
    <w:rPr>
      <w:rFonts w:ascii="Times New Roman" w:eastAsia="Times New Roman" w:hAnsi="Times New Roman" w:cs="Times New Roman"/>
      <w:sz w:val="24"/>
      <w:szCs w:val="20"/>
      <w:lang w:eastAsia="pt-BR"/>
    </w:rPr>
  </w:style>
  <w:style w:type="paragraph" w:customStyle="1" w:styleId="02-TtuloPrincipal-CLG">
    <w:name w:val="02 - Título Principal - CLG"/>
    <w:link w:val="02-TtuloPrincipal-CLGChar"/>
    <w:rsid w:val="000D5FCB"/>
    <w:pPr>
      <w:spacing w:after="960" w:line="240" w:lineRule="auto"/>
      <w:jc w:val="center"/>
    </w:pPr>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0D5FCB"/>
    <w:pPr>
      <w:spacing w:after="1440" w:line="240" w:lineRule="auto"/>
      <w:ind w:left="3686"/>
      <w:jc w:val="both"/>
    </w:pPr>
    <w:rPr>
      <w:rFonts w:ascii="Times New Roman" w:eastAsia="Times New Roman" w:hAnsi="Times New Roman" w:cs="Times New Roman"/>
      <w:sz w:val="24"/>
      <w:szCs w:val="20"/>
      <w:lang w:eastAsia="pt-BR"/>
    </w:rPr>
  </w:style>
  <w:style w:type="paragraph" w:customStyle="1" w:styleId="06-Justificao-CLG">
    <w:name w:val="06 - Justificação - CLG"/>
    <w:next w:val="05-Pargrafodetexto-CLG"/>
    <w:link w:val="06-Justificao-CLGChar"/>
    <w:qFormat/>
    <w:rsid w:val="002B0CFB"/>
    <w:pPr>
      <w:keepNext/>
      <w:keepLines/>
      <w:spacing w:before="600" w:after="480" w:line="240" w:lineRule="auto"/>
      <w:jc w:val="center"/>
    </w:pPr>
    <w:rPr>
      <w:rFonts w:ascii="Times New Roman" w:eastAsia="Times New Roman" w:hAnsi="Times New Roman" w:cs="Times New Roman"/>
      <w:b/>
      <w:bCs/>
      <w:sz w:val="28"/>
      <w:szCs w:val="20"/>
      <w:lang w:eastAsia="pt-BR"/>
    </w:rPr>
  </w:style>
  <w:style w:type="paragraph" w:customStyle="1" w:styleId="05-Pargrafodetexto-CLG">
    <w:name w:val="05 - Parágrafo de texto - CLG"/>
    <w:link w:val="05-Pargrafodetexto-CLGChar"/>
    <w:qFormat/>
    <w:rsid w:val="000D5FCB"/>
    <w:pPr>
      <w:spacing w:after="360" w:line="240" w:lineRule="auto"/>
      <w:ind w:firstLine="1418"/>
      <w:jc w:val="both"/>
    </w:pPr>
    <w:rPr>
      <w:rFonts w:ascii="Times New Roman" w:eastAsia="Times New Roman" w:hAnsi="Times New Roman" w:cs="Times New Roman"/>
      <w:sz w:val="28"/>
      <w:szCs w:val="20"/>
      <w:lang w:eastAsia="pt-BR"/>
    </w:rPr>
  </w:style>
  <w:style w:type="paragraph" w:customStyle="1" w:styleId="09-Local-CLG">
    <w:name w:val="09 - Local - CLG"/>
    <w:link w:val="09-Local-CLGChar"/>
    <w:rsid w:val="000D5FCB"/>
    <w:pPr>
      <w:spacing w:before="960" w:after="720" w:line="240" w:lineRule="auto"/>
      <w:ind w:firstLine="2520"/>
      <w:jc w:val="both"/>
    </w:pPr>
    <w:rPr>
      <w:rFonts w:ascii="Times New Roman" w:eastAsia="Times New Roman" w:hAnsi="Times New Roman" w:cs="Times New Roman"/>
      <w:sz w:val="28"/>
      <w:szCs w:val="20"/>
      <w:lang w:eastAsia="pt-BR"/>
    </w:rPr>
  </w:style>
  <w:style w:type="paragraph" w:customStyle="1" w:styleId="10-IdentificaoParlamentar-CLG">
    <w:name w:val="10 - Identificação Parlamentar - CLG"/>
    <w:link w:val="10-IdentificaoParlamentar-CLGChar"/>
    <w:rsid w:val="000D5FCB"/>
    <w:pPr>
      <w:spacing w:after="0" w:line="360" w:lineRule="auto"/>
      <w:ind w:left="3402"/>
    </w:pPr>
    <w:rPr>
      <w:rFonts w:ascii="Times New Roman" w:eastAsia="Times New Roman" w:hAnsi="Times New Roman" w:cs="Times New Roman"/>
      <w:color w:val="000000"/>
      <w:sz w:val="28"/>
      <w:szCs w:val="9"/>
      <w:lang w:eastAsia="pt-BR"/>
    </w:rPr>
  </w:style>
  <w:style w:type="character" w:customStyle="1" w:styleId="01-Minuta-CLGChar">
    <w:name w:val="01 - Minuta - CLG Char"/>
    <w:basedOn w:val="Fontepargpadro"/>
    <w:link w:val="01-Minuta-CLG"/>
    <w:rsid w:val="000D5FCB"/>
    <w:rPr>
      <w:rFonts w:ascii="Times New Roman" w:eastAsia="Times New Roman" w:hAnsi="Times New Roman" w:cs="Times New Roman"/>
      <w:sz w:val="24"/>
      <w:szCs w:val="20"/>
      <w:lang w:eastAsia="pt-BR"/>
    </w:rPr>
  </w:style>
  <w:style w:type="character" w:customStyle="1" w:styleId="02-TtuloPrincipal-CLGChar">
    <w:name w:val="02 - Título Principal - CLG Char"/>
    <w:basedOn w:val="Fontepargpadro"/>
    <w:link w:val="02-TtuloPrincipal-CLG"/>
    <w:rsid w:val="000D5FCB"/>
    <w:rPr>
      <w:rFonts w:ascii="Times New Roman" w:eastAsia="Times New Roman" w:hAnsi="Times New Roman" w:cs="Times New Roman"/>
      <w:b/>
      <w:bCs/>
      <w:sz w:val="32"/>
      <w:szCs w:val="20"/>
      <w:lang w:eastAsia="pt-BR"/>
    </w:rPr>
  </w:style>
  <w:style w:type="character" w:customStyle="1" w:styleId="03-Ementa-CLGChar">
    <w:name w:val="03 - Ementa - CLG Char"/>
    <w:basedOn w:val="Fontepargpadro"/>
    <w:link w:val="03-Ementa-CLG"/>
    <w:rsid w:val="000D5FCB"/>
    <w:rPr>
      <w:rFonts w:ascii="Times New Roman" w:eastAsia="Times New Roman" w:hAnsi="Times New Roman" w:cs="Times New Roman"/>
      <w:sz w:val="24"/>
      <w:szCs w:val="20"/>
      <w:lang w:eastAsia="pt-BR"/>
    </w:rPr>
  </w:style>
  <w:style w:type="character" w:customStyle="1" w:styleId="05-Pargrafodetexto-CLGChar">
    <w:name w:val="05 - Parágrafo de texto - CLG Char"/>
    <w:basedOn w:val="Fontepargpadro"/>
    <w:link w:val="05-Pargrafodetexto-CLG"/>
    <w:rsid w:val="000D5FCB"/>
    <w:rPr>
      <w:rFonts w:ascii="Times New Roman" w:eastAsia="Times New Roman" w:hAnsi="Times New Roman" w:cs="Times New Roman"/>
      <w:sz w:val="28"/>
      <w:szCs w:val="20"/>
      <w:lang w:eastAsia="pt-BR"/>
    </w:rPr>
  </w:style>
  <w:style w:type="character" w:customStyle="1" w:styleId="06-Justificao-CLGChar">
    <w:name w:val="06 - Justificação - CLG Char"/>
    <w:basedOn w:val="Fontepargpadro"/>
    <w:link w:val="06-Justificao-CLG"/>
    <w:rsid w:val="002B0CFB"/>
    <w:rPr>
      <w:rFonts w:ascii="Times New Roman" w:eastAsia="Times New Roman" w:hAnsi="Times New Roman" w:cs="Times New Roman"/>
      <w:b/>
      <w:bCs/>
      <w:sz w:val="28"/>
      <w:szCs w:val="20"/>
      <w:lang w:eastAsia="pt-BR"/>
    </w:rPr>
  </w:style>
  <w:style w:type="character" w:customStyle="1" w:styleId="09-Local-CLGChar">
    <w:name w:val="09 - Local - CLG Char"/>
    <w:basedOn w:val="Fontepargpadro"/>
    <w:link w:val="09-Local-CLG"/>
    <w:rsid w:val="000D5FCB"/>
    <w:rPr>
      <w:rFonts w:ascii="Times New Roman" w:eastAsia="Times New Roman" w:hAnsi="Times New Roman" w:cs="Times New Roman"/>
      <w:sz w:val="28"/>
      <w:szCs w:val="20"/>
      <w:lang w:eastAsia="pt-BR"/>
    </w:rPr>
  </w:style>
  <w:style w:type="character" w:customStyle="1" w:styleId="10-IdentificaoParlamentar-CLGChar">
    <w:name w:val="10 - Identificação Parlamentar - CLG Char"/>
    <w:basedOn w:val="Fontepargpadro"/>
    <w:link w:val="10-IdentificaoParlamentar-CLG"/>
    <w:rsid w:val="000D5FCB"/>
    <w:rPr>
      <w:rFonts w:ascii="Times New Roman" w:eastAsia="Times New Roman" w:hAnsi="Times New Roman" w:cs="Times New Roman"/>
      <w:color w:val="000000"/>
      <w:sz w:val="28"/>
      <w:szCs w:val="9"/>
      <w:lang w:eastAsia="pt-BR"/>
    </w:rPr>
  </w:style>
  <w:style w:type="paragraph" w:customStyle="1" w:styleId="03-EmentadeParecer-CLG">
    <w:name w:val="03 - Ementa de Parecer - CLG"/>
    <w:basedOn w:val="Ttulo5"/>
    <w:semiHidden/>
    <w:rsid w:val="000D5FCB"/>
    <w:pPr>
      <w:keepNext w:val="0"/>
      <w:keepLines w:val="0"/>
      <w:spacing w:before="0" w:after="960" w:line="240" w:lineRule="auto"/>
      <w:ind w:left="3686"/>
      <w:jc w:val="both"/>
    </w:pPr>
    <w:rPr>
      <w:rFonts w:ascii="Times New Roman" w:eastAsia="Arial Unicode MS" w:hAnsi="Times New Roman" w:cs="Times New Roman"/>
      <w:color w:val="auto"/>
      <w:sz w:val="24"/>
      <w:szCs w:val="24"/>
      <w:lang w:eastAsia="pt-BR"/>
    </w:rPr>
  </w:style>
  <w:style w:type="character" w:customStyle="1" w:styleId="Ttulo5Char">
    <w:name w:val="Título 5 Char"/>
    <w:basedOn w:val="Fontepargpadro"/>
    <w:link w:val="Ttulo5"/>
    <w:uiPriority w:val="9"/>
    <w:semiHidden/>
    <w:rsid w:val="002B0CFB"/>
    <w:rPr>
      <w:rFonts w:asciiTheme="majorHAnsi" w:eastAsiaTheme="majorEastAsia" w:hAnsiTheme="majorHAnsi" w:cstheme="majorBidi"/>
      <w:color w:val="243F60" w:themeColor="accent1" w:themeShade="7F"/>
    </w:rPr>
  </w:style>
  <w:style w:type="paragraph" w:customStyle="1" w:styleId="04-Relatoria-CLG">
    <w:name w:val="04 - Relatoria - CLG"/>
    <w:rsid w:val="000D5FCB"/>
    <w:pPr>
      <w:spacing w:after="960" w:line="240" w:lineRule="auto"/>
      <w:ind w:left="1440"/>
    </w:pPr>
    <w:rPr>
      <w:rFonts w:ascii="Times New Roman" w:eastAsia="Times New Roman" w:hAnsi="Times New Roman" w:cs="Times New Roman"/>
      <w:sz w:val="28"/>
      <w:szCs w:val="20"/>
      <w:lang w:eastAsia="pt-BR"/>
    </w:rPr>
  </w:style>
  <w:style w:type="paragraph" w:customStyle="1" w:styleId="07-Citaolegal-CLG">
    <w:name w:val="07 - Citação legal - CLG"/>
    <w:qFormat/>
    <w:rsid w:val="000D5FCB"/>
    <w:pPr>
      <w:spacing w:after="120" w:line="240" w:lineRule="auto"/>
      <w:ind w:left="1985" w:firstLine="567"/>
      <w:jc w:val="both"/>
    </w:pPr>
    <w:rPr>
      <w:rFonts w:ascii="Times New Roman" w:eastAsia="Times New Roman" w:hAnsi="Times New Roman" w:cs="Times New Roman"/>
      <w:bCs/>
      <w:sz w:val="24"/>
      <w:szCs w:val="20"/>
      <w:lang w:eastAsia="pt-BR"/>
    </w:rPr>
  </w:style>
  <w:style w:type="paragraph" w:customStyle="1" w:styleId="08-Citaolegal-ltimalinha-CLG">
    <w:name w:val="08 - Citação legal - última linha - CLG"/>
    <w:qFormat/>
    <w:rsid w:val="000D5FCB"/>
    <w:pPr>
      <w:spacing w:after="480" w:line="240" w:lineRule="auto"/>
      <w:ind w:left="1985" w:firstLine="567"/>
      <w:jc w:val="both"/>
    </w:pPr>
    <w:rPr>
      <w:rFonts w:ascii="Times New Roman" w:eastAsia="Times New Roman" w:hAnsi="Times New Roman" w:cs="Times New Roman"/>
      <w:sz w:val="24"/>
      <w:szCs w:val="20"/>
      <w:lang w:eastAsia="pt-BR"/>
    </w:rPr>
  </w:style>
  <w:style w:type="paragraph" w:customStyle="1" w:styleId="09-Ttuloemenda-CLG">
    <w:name w:val="09 - Título emenda - CLG"/>
    <w:basedOn w:val="Ttulo2"/>
    <w:semiHidden/>
    <w:rsid w:val="000D5FCB"/>
    <w:pPr>
      <w:keepLines w:val="0"/>
      <w:spacing w:before="480" w:after="360" w:line="240" w:lineRule="auto"/>
      <w:jc w:val="center"/>
    </w:pPr>
    <w:rPr>
      <w:rFonts w:ascii="Times New Roman" w:eastAsia="Times New Roman" w:hAnsi="Times New Roman" w:cs="Times New Roman"/>
      <w:color w:val="auto"/>
      <w:spacing w:val="-4"/>
      <w:sz w:val="28"/>
      <w:szCs w:val="20"/>
      <w:lang w:eastAsia="pt-BR"/>
    </w:rPr>
  </w:style>
  <w:style w:type="character" w:customStyle="1" w:styleId="Ttulo2Char">
    <w:name w:val="Título 2 Char"/>
    <w:basedOn w:val="Fontepargpadro"/>
    <w:link w:val="Ttulo2"/>
    <w:uiPriority w:val="9"/>
    <w:semiHidden/>
    <w:rsid w:val="002B0CFB"/>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C43C44"/>
    <w:pPr>
      <w:spacing w:after="0" w:line="240" w:lineRule="auto"/>
      <w:jc w:val="both"/>
    </w:pPr>
    <w:rPr>
      <w:rFonts w:ascii="Arial" w:eastAsia="Times New Roman" w:hAnsi="Arial" w:cs="Arial"/>
      <w:sz w:val="20"/>
      <w:szCs w:val="20"/>
      <w:lang w:eastAsia="pt-BR"/>
    </w:rPr>
  </w:style>
  <w:style w:type="character" w:customStyle="1" w:styleId="TextodenotaderodapChar">
    <w:name w:val="Texto de nota de rodapé Char"/>
    <w:basedOn w:val="Fontepargpadro"/>
    <w:link w:val="Textodenotaderodap"/>
    <w:uiPriority w:val="99"/>
    <w:semiHidden/>
    <w:rsid w:val="00C43C44"/>
    <w:rPr>
      <w:rFonts w:ascii="Arial" w:eastAsia="Times New Roman" w:hAnsi="Arial" w:cs="Arial"/>
      <w:sz w:val="20"/>
      <w:szCs w:val="20"/>
      <w:lang w:eastAsia="pt-BR"/>
    </w:rPr>
  </w:style>
  <w:style w:type="character" w:styleId="Refdenotaderodap">
    <w:name w:val="footnote reference"/>
    <w:basedOn w:val="Fontepargpadro"/>
    <w:uiPriority w:val="99"/>
    <w:semiHidden/>
    <w:unhideWhenUsed/>
    <w:rsid w:val="00C43C44"/>
    <w:rPr>
      <w:vertAlign w:val="superscript"/>
    </w:rPr>
  </w:style>
  <w:style w:type="paragraph" w:styleId="Textodebalo">
    <w:name w:val="Balloon Text"/>
    <w:basedOn w:val="Normal"/>
    <w:link w:val="TextodebaloChar"/>
    <w:uiPriority w:val="99"/>
    <w:semiHidden/>
    <w:unhideWhenUsed/>
    <w:rsid w:val="0085642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6421"/>
    <w:rPr>
      <w:rFonts w:ascii="Segoe UI" w:hAnsi="Segoe UI" w:cs="Segoe UI"/>
      <w:sz w:val="18"/>
      <w:szCs w:val="18"/>
    </w:rPr>
  </w:style>
  <w:style w:type="character" w:styleId="Refdecomentrio">
    <w:name w:val="annotation reference"/>
    <w:basedOn w:val="Fontepargpadro"/>
    <w:uiPriority w:val="99"/>
    <w:semiHidden/>
    <w:unhideWhenUsed/>
    <w:rsid w:val="00F3581A"/>
    <w:rPr>
      <w:sz w:val="16"/>
      <w:szCs w:val="16"/>
    </w:rPr>
  </w:style>
  <w:style w:type="paragraph" w:styleId="Textodecomentrio">
    <w:name w:val="annotation text"/>
    <w:basedOn w:val="Normal"/>
    <w:link w:val="TextodecomentrioChar"/>
    <w:uiPriority w:val="99"/>
    <w:semiHidden/>
    <w:unhideWhenUsed/>
    <w:rsid w:val="00F358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581A"/>
    <w:rPr>
      <w:sz w:val="20"/>
      <w:szCs w:val="20"/>
    </w:rPr>
  </w:style>
  <w:style w:type="paragraph" w:styleId="Assuntodocomentrio">
    <w:name w:val="annotation subject"/>
    <w:basedOn w:val="Textodecomentrio"/>
    <w:next w:val="Textodecomentrio"/>
    <w:link w:val="AssuntodocomentrioChar"/>
    <w:uiPriority w:val="99"/>
    <w:semiHidden/>
    <w:unhideWhenUsed/>
    <w:rsid w:val="00F3581A"/>
    <w:rPr>
      <w:b/>
      <w:bCs/>
    </w:rPr>
  </w:style>
  <w:style w:type="character" w:customStyle="1" w:styleId="AssuntodocomentrioChar">
    <w:name w:val="Assunto do comentário Char"/>
    <w:basedOn w:val="TextodecomentrioChar"/>
    <w:link w:val="Assuntodocomentrio"/>
    <w:uiPriority w:val="99"/>
    <w:semiHidden/>
    <w:rsid w:val="00F3581A"/>
    <w:rPr>
      <w:b/>
      <w:bCs/>
      <w:sz w:val="20"/>
      <w:szCs w:val="20"/>
    </w:rPr>
  </w:style>
  <w:style w:type="paragraph" w:styleId="Reviso">
    <w:name w:val="Revision"/>
    <w:hidden/>
    <w:uiPriority w:val="99"/>
    <w:semiHidden/>
    <w:rsid w:val="00BC6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rescad/1991/resolucaodacamaradosdeputados-10-3-outubro-1991-320701-norma-p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D066D-1397-4561-A11E-4425629A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4201</Words>
  <Characters>22686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conleg@senado.leg.br</dc:creator>
  <cp:keywords/>
  <dc:description/>
  <cp:lastModifiedBy>José Alexandre Girao Mota da Silva</cp:lastModifiedBy>
  <cp:revision>4</cp:revision>
  <cp:lastPrinted>2018-04-24T10:53:00Z</cp:lastPrinted>
  <dcterms:created xsi:type="dcterms:W3CDTF">2018-04-24T10:47:00Z</dcterms:created>
  <dcterms:modified xsi:type="dcterms:W3CDTF">2018-04-24T10:53:00Z</dcterms:modified>
</cp:coreProperties>
</file>