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8C0" w:rsidRPr="007628C0" w:rsidRDefault="007628C0" w:rsidP="007628C0">
      <w:pPr>
        <w:spacing w:after="9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pt-BR"/>
        </w:rPr>
      </w:pPr>
      <w:r w:rsidRPr="007628C0">
        <w:rPr>
          <w:rFonts w:ascii="Times New Roman" w:eastAsia="Times New Roman" w:hAnsi="Times New Roman" w:cs="Times New Roman"/>
          <w:b/>
          <w:bCs/>
          <w:caps/>
          <w:sz w:val="32"/>
          <w:szCs w:val="20"/>
          <w:lang w:eastAsia="pt-BR"/>
        </w:rPr>
        <w:t>Projeto de Lei do Senado Nº</w:t>
      </w:r>
      <w:r w:rsidRPr="007628C0">
        <w:rPr>
          <w:rFonts w:ascii="Times New Roman" w:eastAsia="Times New Roman" w:hAnsi="Times New Roman" w:cs="Times New Roman"/>
          <w:b/>
          <w:bCs/>
          <w:sz w:val="32"/>
          <w:szCs w:val="20"/>
          <w:lang w:eastAsia="pt-BR"/>
        </w:rPr>
        <w:t xml:space="preserve">     </w:t>
      </w:r>
      <w:proofErr w:type="gramStart"/>
      <w:r w:rsidRPr="007628C0">
        <w:rPr>
          <w:rFonts w:ascii="Times New Roman" w:eastAsia="Times New Roman" w:hAnsi="Times New Roman" w:cs="Times New Roman"/>
          <w:b/>
          <w:bCs/>
          <w:sz w:val="32"/>
          <w:szCs w:val="20"/>
          <w:lang w:eastAsia="pt-BR"/>
        </w:rPr>
        <w:t xml:space="preserve">  ,</w:t>
      </w:r>
      <w:proofErr w:type="gramEnd"/>
      <w:r w:rsidRPr="007628C0">
        <w:rPr>
          <w:rFonts w:ascii="Times New Roman" w:eastAsia="Times New Roman" w:hAnsi="Times New Roman" w:cs="Times New Roman"/>
          <w:b/>
          <w:bCs/>
          <w:sz w:val="32"/>
          <w:szCs w:val="20"/>
          <w:lang w:eastAsia="pt-BR"/>
        </w:rPr>
        <w:t xml:space="preserve"> DE 2018</w:t>
      </w:r>
    </w:p>
    <w:p w:rsidR="007628C0" w:rsidRPr="007628C0" w:rsidRDefault="007628C0" w:rsidP="007628C0">
      <w:pPr>
        <w:spacing w:after="1440" w:line="240" w:lineRule="auto"/>
        <w:ind w:left="3686"/>
        <w:jc w:val="both"/>
        <w:rPr>
          <w:rFonts w:ascii="Times New Roman" w:eastAsia="Times New Roman" w:hAnsi="Times New Roman" w:cs="Times New Roman"/>
          <w:sz w:val="24"/>
          <w:szCs w:val="11"/>
          <w:lang w:eastAsia="pt-BR"/>
        </w:rPr>
      </w:pPr>
      <w:r w:rsidRPr="007628C0">
        <w:rPr>
          <w:rFonts w:ascii="Times New Roman" w:eastAsia="Times New Roman" w:hAnsi="Times New Roman" w:cs="Times New Roman"/>
          <w:sz w:val="24"/>
          <w:szCs w:val="11"/>
          <w:lang w:eastAsia="pt-BR"/>
        </w:rPr>
        <w:t>Modifica o Decreto Lei nº 2.848, de 7 de dezembro de 1940 - Código Penal, para reestabelecer para o crime de roubo a causa de aumento de pena do emprego de arma.</w:t>
      </w:r>
      <w:bookmarkStart w:id="0" w:name="_GoBack"/>
      <w:bookmarkEnd w:id="0"/>
    </w:p>
    <w:p w:rsidR="007628C0" w:rsidRPr="007628C0" w:rsidRDefault="007628C0" w:rsidP="007628C0">
      <w:pPr>
        <w:spacing w:after="360" w:line="24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0"/>
          <w:lang w:eastAsia="pt-BR"/>
        </w:rPr>
      </w:pPr>
      <w:r w:rsidRPr="007628C0">
        <w:rPr>
          <w:rFonts w:ascii="Times New Roman" w:eastAsia="Times New Roman" w:hAnsi="Times New Roman" w:cs="Times New Roman"/>
          <w:sz w:val="28"/>
          <w:szCs w:val="20"/>
          <w:lang w:eastAsia="pt-BR"/>
        </w:rPr>
        <w:t>O CONGRESSO NACIONAL decreta:</w:t>
      </w:r>
    </w:p>
    <w:p w:rsidR="007628C0" w:rsidRPr="007628C0" w:rsidRDefault="007628C0" w:rsidP="007628C0">
      <w:pPr>
        <w:spacing w:after="360" w:line="24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11"/>
          <w:lang w:eastAsia="pt-BR"/>
        </w:rPr>
      </w:pPr>
      <w:r w:rsidRPr="007628C0">
        <w:rPr>
          <w:rFonts w:ascii="Times New Roman" w:eastAsia="Times New Roman" w:hAnsi="Times New Roman" w:cs="Times New Roman"/>
          <w:b/>
          <w:sz w:val="28"/>
          <w:szCs w:val="20"/>
          <w:lang w:eastAsia="pt-BR"/>
        </w:rPr>
        <w:t>Art. 1º</w:t>
      </w:r>
      <w:r w:rsidRPr="007628C0">
        <w:rPr>
          <w:rFonts w:ascii="Times New Roman" w:eastAsia="Times New Roman" w:hAnsi="Times New Roman" w:cs="Times New Roman"/>
          <w:sz w:val="28"/>
          <w:szCs w:val="20"/>
          <w:lang w:eastAsia="pt-BR"/>
        </w:rPr>
        <w:t xml:space="preserve"> O art. 157, § 2º, do </w:t>
      </w:r>
      <w:r w:rsidRPr="007628C0">
        <w:rPr>
          <w:rFonts w:ascii="Times New Roman" w:eastAsia="Times New Roman" w:hAnsi="Times New Roman" w:cs="Times New Roman"/>
          <w:sz w:val="28"/>
          <w:szCs w:val="11"/>
          <w:lang w:eastAsia="pt-BR"/>
        </w:rPr>
        <w:t xml:space="preserve">Decreto-Lei nº 2.848, de 7 de dezembro de 1940 – Código Penal, passa a vigorar </w:t>
      </w:r>
      <w:r w:rsidR="00845CB3">
        <w:rPr>
          <w:rFonts w:ascii="Times New Roman" w:eastAsia="Times New Roman" w:hAnsi="Times New Roman" w:cs="Times New Roman"/>
          <w:sz w:val="28"/>
          <w:szCs w:val="11"/>
          <w:lang w:eastAsia="pt-BR"/>
        </w:rPr>
        <w:t>acrescido do</w:t>
      </w:r>
      <w:r w:rsidRPr="007628C0">
        <w:rPr>
          <w:rFonts w:ascii="Times New Roman" w:eastAsia="Times New Roman" w:hAnsi="Times New Roman" w:cs="Times New Roman"/>
          <w:sz w:val="28"/>
          <w:szCs w:val="11"/>
          <w:lang w:eastAsia="pt-BR"/>
        </w:rPr>
        <w:t xml:space="preserve"> seguinte</w:t>
      </w:r>
      <w:r w:rsidR="00845CB3">
        <w:rPr>
          <w:rFonts w:ascii="Times New Roman" w:eastAsia="Times New Roman" w:hAnsi="Times New Roman" w:cs="Times New Roman"/>
          <w:sz w:val="28"/>
          <w:szCs w:val="11"/>
          <w:lang w:eastAsia="pt-BR"/>
        </w:rPr>
        <w:t xml:space="preserve"> inciso VII</w:t>
      </w:r>
      <w:r w:rsidRPr="007628C0">
        <w:rPr>
          <w:rFonts w:ascii="Times New Roman" w:eastAsia="Times New Roman" w:hAnsi="Times New Roman" w:cs="Times New Roman"/>
          <w:sz w:val="28"/>
          <w:szCs w:val="11"/>
          <w:lang w:eastAsia="pt-BR"/>
        </w:rPr>
        <w:t>:</w:t>
      </w:r>
    </w:p>
    <w:p w:rsidR="007628C0" w:rsidRPr="007628C0" w:rsidRDefault="007628C0" w:rsidP="007628C0">
      <w:pPr>
        <w:spacing w:after="120" w:line="240" w:lineRule="auto"/>
        <w:ind w:left="1985" w:firstLine="567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</w:pPr>
      <w:r w:rsidRPr="007628C0"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  <w:t xml:space="preserve">“ </w:t>
      </w:r>
      <w:r w:rsidRPr="007628C0"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t>Art. 157</w:t>
      </w:r>
      <w:r w:rsidRPr="007628C0"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  <w:t>. ................................................</w:t>
      </w:r>
    </w:p>
    <w:p w:rsidR="007628C0" w:rsidRPr="007628C0" w:rsidRDefault="007628C0" w:rsidP="007628C0">
      <w:pPr>
        <w:spacing w:after="120" w:line="240" w:lineRule="auto"/>
        <w:ind w:left="1985" w:firstLine="567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</w:pPr>
      <w:r w:rsidRPr="007628C0"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  <w:t>...................................................................</w:t>
      </w:r>
    </w:p>
    <w:p w:rsidR="007628C0" w:rsidRPr="007628C0" w:rsidRDefault="007628C0" w:rsidP="007628C0">
      <w:pPr>
        <w:spacing w:after="120" w:line="240" w:lineRule="auto"/>
        <w:ind w:left="1985" w:firstLine="567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</w:pPr>
      <w:r w:rsidRPr="007628C0"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  <w:t>§ 2º A pena aumenta-se de um terço até metade:</w:t>
      </w:r>
    </w:p>
    <w:p w:rsidR="00845CB3" w:rsidRPr="007628C0" w:rsidRDefault="00845CB3" w:rsidP="00845CB3">
      <w:pPr>
        <w:spacing w:after="120" w:line="240" w:lineRule="auto"/>
        <w:ind w:left="1985" w:firstLine="567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</w:pPr>
      <w:r w:rsidRPr="007628C0"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  <w:t>...................................................................</w:t>
      </w:r>
    </w:p>
    <w:p w:rsidR="007628C0" w:rsidRPr="007628C0" w:rsidRDefault="00845CB3" w:rsidP="007628C0">
      <w:pPr>
        <w:spacing w:after="120" w:line="240" w:lineRule="auto"/>
        <w:ind w:left="1985" w:firstLine="567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  <w:t>VII</w:t>
      </w:r>
      <w:r w:rsidR="007628C0" w:rsidRPr="007628C0"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  <w:t xml:space="preserve"> - se a violência ou ameaça é exercida com emprego de arma;</w:t>
      </w:r>
    </w:p>
    <w:p w:rsidR="007628C0" w:rsidRPr="007628C0" w:rsidRDefault="007628C0" w:rsidP="007628C0">
      <w:pPr>
        <w:spacing w:after="120" w:line="240" w:lineRule="auto"/>
        <w:ind w:left="1985" w:firstLine="567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</w:pPr>
      <w:r w:rsidRPr="007628C0"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  <w:t>.....................................................................” (NR)</w:t>
      </w:r>
    </w:p>
    <w:p w:rsidR="007628C0" w:rsidRPr="007628C0" w:rsidRDefault="007628C0" w:rsidP="007628C0">
      <w:pPr>
        <w:spacing w:after="120" w:line="240" w:lineRule="auto"/>
        <w:ind w:left="1985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</w:pPr>
    </w:p>
    <w:p w:rsidR="007628C0" w:rsidRPr="007628C0" w:rsidRDefault="007628C0" w:rsidP="007628C0">
      <w:pPr>
        <w:spacing w:after="360" w:line="24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0"/>
          <w:lang w:eastAsia="pt-BR"/>
        </w:rPr>
      </w:pPr>
      <w:r w:rsidRPr="007628C0">
        <w:rPr>
          <w:rFonts w:ascii="Times New Roman" w:eastAsia="Times New Roman" w:hAnsi="Times New Roman" w:cs="Times New Roman"/>
          <w:b/>
          <w:sz w:val="28"/>
          <w:szCs w:val="11"/>
          <w:lang w:eastAsia="pt-BR"/>
        </w:rPr>
        <w:t>Art. 2º</w:t>
      </w:r>
      <w:r w:rsidRPr="007628C0">
        <w:rPr>
          <w:rFonts w:ascii="Times New Roman" w:eastAsia="Times New Roman" w:hAnsi="Times New Roman" w:cs="Times New Roman"/>
          <w:sz w:val="28"/>
          <w:szCs w:val="11"/>
          <w:lang w:eastAsia="pt-BR"/>
        </w:rPr>
        <w:t xml:space="preserve"> Esta Lei entra em vigor na data de sua publicação.</w:t>
      </w:r>
    </w:p>
    <w:p w:rsidR="007628C0" w:rsidRPr="007628C0" w:rsidRDefault="007628C0" w:rsidP="007628C0">
      <w:pPr>
        <w:keepNext/>
        <w:keepLines/>
        <w:spacing w:before="600" w:after="4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pt-BR"/>
        </w:rPr>
      </w:pPr>
      <w:r w:rsidRPr="007628C0">
        <w:rPr>
          <w:rFonts w:ascii="Times New Roman" w:eastAsia="Times New Roman" w:hAnsi="Times New Roman" w:cs="Times New Roman"/>
          <w:b/>
          <w:bCs/>
          <w:sz w:val="28"/>
          <w:szCs w:val="20"/>
          <w:lang w:eastAsia="pt-BR"/>
        </w:rPr>
        <w:lastRenderedPageBreak/>
        <w:t>JUSTIFICAÇÃO</w:t>
      </w:r>
    </w:p>
    <w:p w:rsidR="007628C0" w:rsidRPr="007628C0" w:rsidRDefault="007628C0" w:rsidP="007628C0">
      <w:pPr>
        <w:spacing w:after="360" w:line="24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0"/>
          <w:lang w:eastAsia="pt-BR"/>
        </w:rPr>
      </w:pPr>
      <w:r w:rsidRPr="007628C0">
        <w:rPr>
          <w:rFonts w:ascii="Times New Roman" w:eastAsia="Times New Roman" w:hAnsi="Times New Roman" w:cs="Times New Roman"/>
          <w:sz w:val="28"/>
          <w:szCs w:val="20"/>
          <w:lang w:eastAsia="pt-BR"/>
        </w:rPr>
        <w:t xml:space="preserve">A Lei nº 13.654, de 24 de abril de 2018, alterou amplamente o tratamento oferecido aos crimes de furto e roubo previstos no Código Penal. Todavia, uma das alterações previstas na recente legislação está sendo muito criticada por setores da doutrina penalista, especialmente por membros do Ministério Público e da magistratura. </w:t>
      </w:r>
    </w:p>
    <w:p w:rsidR="007628C0" w:rsidRPr="007628C0" w:rsidRDefault="007628C0" w:rsidP="007628C0">
      <w:pPr>
        <w:spacing w:after="360" w:line="24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0"/>
          <w:lang w:eastAsia="pt-BR"/>
        </w:rPr>
      </w:pPr>
      <w:r w:rsidRPr="007628C0">
        <w:rPr>
          <w:rFonts w:ascii="Times New Roman" w:eastAsia="Times New Roman" w:hAnsi="Times New Roman" w:cs="Times New Roman"/>
          <w:sz w:val="28"/>
          <w:szCs w:val="20"/>
          <w:lang w:eastAsia="pt-BR"/>
        </w:rPr>
        <w:t>Trata-se do ponto que revoga a causa de aumento de pena anteriormente prevista no I do § 2º do art. 157 do Código e que permitia a majoração do roubo pelo emprego de qualquer arma, inclusive as chamadas “armas brancas”. O novo tratamento legal dado à matéria somente permite a majoração no caso de roubo com emprego de armamento de fogo, previsto também no art. 157, em seu § 2º-A.</w:t>
      </w:r>
    </w:p>
    <w:p w:rsidR="007628C0" w:rsidRPr="007628C0" w:rsidRDefault="007628C0" w:rsidP="007628C0">
      <w:pPr>
        <w:spacing w:after="360" w:line="24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0"/>
          <w:lang w:eastAsia="pt-BR"/>
        </w:rPr>
      </w:pPr>
      <w:r w:rsidRPr="007628C0">
        <w:rPr>
          <w:rFonts w:ascii="Times New Roman" w:eastAsia="Times New Roman" w:hAnsi="Times New Roman" w:cs="Times New Roman"/>
          <w:sz w:val="28"/>
          <w:szCs w:val="20"/>
          <w:lang w:eastAsia="pt-BR"/>
        </w:rPr>
        <w:t xml:space="preserve">Portanto, atendendo aos amplos reclamos de diversos aplicadores do direito, este projeto de lei visa reestabelecer o emprego de arma, de natureza própria ou imprópria, como </w:t>
      </w:r>
      <w:proofErr w:type="spellStart"/>
      <w:r w:rsidRPr="007628C0">
        <w:rPr>
          <w:rFonts w:ascii="Times New Roman" w:eastAsia="Times New Roman" w:hAnsi="Times New Roman" w:cs="Times New Roman"/>
          <w:sz w:val="28"/>
          <w:szCs w:val="20"/>
          <w:lang w:eastAsia="pt-BR"/>
        </w:rPr>
        <w:t>majorante</w:t>
      </w:r>
      <w:proofErr w:type="spellEnd"/>
      <w:r w:rsidRPr="007628C0">
        <w:rPr>
          <w:rFonts w:ascii="Times New Roman" w:eastAsia="Times New Roman" w:hAnsi="Times New Roman" w:cs="Times New Roman"/>
          <w:sz w:val="28"/>
          <w:szCs w:val="20"/>
          <w:lang w:eastAsia="pt-BR"/>
        </w:rPr>
        <w:t xml:space="preserve"> para o crime de roubo. Deste modo, apenas trouxemos de volta para o Código Penal o inciso I do § 2º do art. 157 outrora revogado. </w:t>
      </w:r>
    </w:p>
    <w:p w:rsidR="007628C0" w:rsidRPr="007628C0" w:rsidRDefault="007628C0" w:rsidP="007628C0">
      <w:pPr>
        <w:spacing w:after="360" w:line="24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0"/>
          <w:lang w:eastAsia="pt-BR"/>
        </w:rPr>
      </w:pPr>
      <w:r w:rsidRPr="007628C0">
        <w:rPr>
          <w:rFonts w:ascii="Times New Roman" w:eastAsia="Times New Roman" w:hAnsi="Times New Roman" w:cs="Times New Roman"/>
          <w:sz w:val="28"/>
          <w:szCs w:val="20"/>
          <w:lang w:eastAsia="pt-BR"/>
        </w:rPr>
        <w:t>Assim, conclamamos os nobres Pares à aprovação desta urgente proposição.</w:t>
      </w:r>
    </w:p>
    <w:p w:rsidR="007628C0" w:rsidRPr="007628C0" w:rsidRDefault="007628C0" w:rsidP="007628C0">
      <w:pPr>
        <w:spacing w:before="960" w:after="720" w:line="240" w:lineRule="auto"/>
        <w:ind w:firstLine="2520"/>
        <w:jc w:val="both"/>
        <w:rPr>
          <w:rFonts w:ascii="Times New Roman" w:eastAsia="Times New Roman" w:hAnsi="Times New Roman" w:cs="Times New Roman"/>
          <w:sz w:val="28"/>
          <w:szCs w:val="20"/>
          <w:lang w:eastAsia="pt-BR"/>
        </w:rPr>
      </w:pPr>
      <w:r w:rsidRPr="007628C0">
        <w:rPr>
          <w:rFonts w:ascii="Times New Roman" w:eastAsia="Times New Roman" w:hAnsi="Times New Roman" w:cs="Times New Roman"/>
          <w:sz w:val="28"/>
          <w:szCs w:val="20"/>
          <w:lang w:eastAsia="pt-BR"/>
        </w:rPr>
        <w:lastRenderedPageBreak/>
        <w:t>Sala das Sessões,</w:t>
      </w:r>
    </w:p>
    <w:p w:rsidR="007628C0" w:rsidRPr="007628C0" w:rsidRDefault="007628C0" w:rsidP="007628C0">
      <w:pPr>
        <w:spacing w:after="0" w:line="360" w:lineRule="auto"/>
        <w:ind w:left="3402"/>
        <w:rPr>
          <w:rFonts w:ascii="Times New Roman" w:eastAsia="Times New Roman" w:hAnsi="Times New Roman" w:cs="Times New Roman"/>
          <w:caps/>
          <w:color w:val="000000"/>
          <w:sz w:val="28"/>
          <w:szCs w:val="9"/>
          <w:lang w:eastAsia="pt-BR"/>
        </w:rPr>
      </w:pPr>
      <w:r w:rsidRPr="007628C0">
        <w:rPr>
          <w:rFonts w:ascii="Times New Roman" w:eastAsia="Times New Roman" w:hAnsi="Times New Roman" w:cs="Times New Roman"/>
          <w:color w:val="000000"/>
          <w:sz w:val="28"/>
          <w:szCs w:val="9"/>
          <w:lang w:eastAsia="pt-BR"/>
        </w:rPr>
        <w:t>Senador</w:t>
      </w:r>
    </w:p>
    <w:p w:rsidR="007628C0" w:rsidRPr="007628C0" w:rsidRDefault="007628C0" w:rsidP="007628C0"/>
    <w:p w:rsidR="0002657B" w:rsidRDefault="00845CB3"/>
    <w:sectPr w:rsidR="0002657B" w:rsidSect="00A87A62">
      <w:headerReference w:type="default" r:id="rId6"/>
      <w:pgSz w:w="11906" w:h="16838"/>
      <w:pgMar w:top="1417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8C0" w:rsidRDefault="007628C0" w:rsidP="007628C0">
      <w:pPr>
        <w:spacing w:after="0" w:line="240" w:lineRule="auto"/>
      </w:pPr>
      <w:r>
        <w:separator/>
      </w:r>
    </w:p>
  </w:endnote>
  <w:endnote w:type="continuationSeparator" w:id="0">
    <w:p w:rsidR="007628C0" w:rsidRDefault="007628C0" w:rsidP="00762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8C0" w:rsidRDefault="007628C0" w:rsidP="007628C0">
      <w:pPr>
        <w:spacing w:after="0" w:line="240" w:lineRule="auto"/>
      </w:pPr>
      <w:r>
        <w:separator/>
      </w:r>
    </w:p>
  </w:footnote>
  <w:footnote w:type="continuationSeparator" w:id="0">
    <w:p w:rsidR="007628C0" w:rsidRDefault="007628C0" w:rsidP="00762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2"/>
      <w:gridCol w:w="5103"/>
    </w:tblGrid>
    <w:tr w:rsidR="00A87A62" w:rsidRPr="00A31FA3" w:rsidTr="00655FCF">
      <w:tc>
        <w:tcPr>
          <w:tcW w:w="1272" w:type="dxa"/>
          <w:vMerge w:val="restart"/>
        </w:tcPr>
        <w:p w:rsidR="00A87A62" w:rsidRDefault="00845CB3" w:rsidP="00A87A62">
          <w:pPr>
            <w:pStyle w:val="Cabealho"/>
            <w:tabs>
              <w:tab w:val="left" w:pos="840"/>
            </w:tabs>
          </w:pPr>
        </w:p>
      </w:tc>
      <w:tc>
        <w:tcPr>
          <w:tcW w:w="5103" w:type="dxa"/>
        </w:tcPr>
        <w:p w:rsidR="00A87A62" w:rsidRPr="00A31FA3" w:rsidRDefault="00845CB3" w:rsidP="00A87A62">
          <w:pPr>
            <w:pStyle w:val="Cabealho"/>
            <w:tabs>
              <w:tab w:val="left" w:pos="840"/>
            </w:tabs>
            <w:rPr>
              <w:sz w:val="28"/>
              <w:szCs w:val="28"/>
            </w:rPr>
          </w:pPr>
        </w:p>
      </w:tc>
    </w:tr>
    <w:tr w:rsidR="00A87A62" w:rsidRPr="00A31FA3" w:rsidTr="00655FCF">
      <w:tc>
        <w:tcPr>
          <w:tcW w:w="1272" w:type="dxa"/>
          <w:vMerge/>
        </w:tcPr>
        <w:p w:rsidR="00A87A62" w:rsidRDefault="00845CB3" w:rsidP="00A87A62">
          <w:pPr>
            <w:pStyle w:val="Cabealho"/>
            <w:tabs>
              <w:tab w:val="left" w:pos="840"/>
            </w:tabs>
          </w:pPr>
        </w:p>
      </w:tc>
      <w:tc>
        <w:tcPr>
          <w:tcW w:w="5103" w:type="dxa"/>
        </w:tcPr>
        <w:p w:rsidR="00A87A62" w:rsidRPr="00A31FA3" w:rsidRDefault="00845CB3" w:rsidP="00A87A62">
          <w:pPr>
            <w:pStyle w:val="Cabealho"/>
            <w:tabs>
              <w:tab w:val="left" w:pos="840"/>
            </w:tabs>
          </w:pPr>
        </w:p>
      </w:tc>
    </w:tr>
  </w:tbl>
  <w:p w:rsidR="00A87A62" w:rsidRDefault="00845CB3" w:rsidP="00974A7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8C0"/>
    <w:rsid w:val="007233F0"/>
    <w:rsid w:val="007628C0"/>
    <w:rsid w:val="00845CB3"/>
    <w:rsid w:val="00864066"/>
    <w:rsid w:val="00EB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9BBD67-B31B-4E29-9C42-78A3FFB12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- CLG"/>
    <w:basedOn w:val="Normal"/>
    <w:link w:val="CabealhoChar"/>
    <w:uiPriority w:val="99"/>
    <w:unhideWhenUsed/>
    <w:rsid w:val="007628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- CLG Char"/>
    <w:basedOn w:val="Fontepargpadro"/>
    <w:link w:val="Cabealho"/>
    <w:uiPriority w:val="99"/>
    <w:rsid w:val="007628C0"/>
  </w:style>
  <w:style w:type="paragraph" w:styleId="Rodap">
    <w:name w:val="footer"/>
    <w:aliases w:val="Rodapé - CLG"/>
    <w:basedOn w:val="Normal"/>
    <w:link w:val="RodapChar"/>
    <w:uiPriority w:val="99"/>
    <w:unhideWhenUsed/>
    <w:rsid w:val="007628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aliases w:val="Rodapé - CLG Char"/>
    <w:basedOn w:val="Fontepargpadro"/>
    <w:link w:val="Rodap"/>
    <w:uiPriority w:val="99"/>
    <w:rsid w:val="007628C0"/>
  </w:style>
  <w:style w:type="table" w:styleId="Tabelacomgrade">
    <w:name w:val="Table Grid"/>
    <w:basedOn w:val="Tabelanormal"/>
    <w:uiPriority w:val="59"/>
    <w:rsid w:val="00762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45C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5C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1653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de Azevedo Carvalho</dc:creator>
  <cp:keywords/>
  <dc:description/>
  <cp:lastModifiedBy>Roberta Romanini</cp:lastModifiedBy>
  <cp:revision>2</cp:revision>
  <cp:lastPrinted>2018-05-30T14:26:00Z</cp:lastPrinted>
  <dcterms:created xsi:type="dcterms:W3CDTF">2018-05-30T14:27:00Z</dcterms:created>
  <dcterms:modified xsi:type="dcterms:W3CDTF">2018-05-30T14:27:00Z</dcterms:modified>
</cp:coreProperties>
</file>