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E2" w:rsidRPr="0025165E" w:rsidRDefault="009356E2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E2" w:rsidRPr="0025165E" w:rsidRDefault="009356E2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9356E2" w:rsidRDefault="009356E2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9B1E18" w:rsidRDefault="009356E2" w:rsidP="00296C43">
      <w:pPr>
        <w:pStyle w:val="SemEspaamento"/>
        <w:jc w:val="center"/>
        <w:rPr>
          <w:rFonts w:ascii="ITC Stone Sans Std Medium" w:hAnsi="ITC Stone Sans Std Medium" w:cs="Arial"/>
          <w:noProof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6F52B8">
        <w:rPr>
          <w:rFonts w:ascii="ITC Stone Sans Std Medium" w:hAnsi="ITC Stone Sans Std Medium" w:cs="Arial"/>
          <w:noProof/>
          <w:color w:val="000000"/>
          <w:sz w:val="16"/>
          <w:szCs w:val="16"/>
        </w:rPr>
        <w:t>784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="009B1E18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296C43" w:rsidRPr="00296C43" w:rsidRDefault="00296C43" w:rsidP="00296C43">
      <w:pPr>
        <w:pStyle w:val="SemEspaamento"/>
        <w:jc w:val="center"/>
        <w:rPr>
          <w:rFonts w:ascii="ITC Stone Sans Std Medium" w:hAnsi="ITC Stone Sans Std Medium" w:cs="Arial"/>
          <w:color w:val="000000"/>
          <w:sz w:val="4"/>
          <w:szCs w:val="4"/>
        </w:rPr>
      </w:pPr>
    </w:p>
    <w:p w:rsidR="009B1E18" w:rsidRPr="009B1E18" w:rsidRDefault="009356E2" w:rsidP="009B1E18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6F52B8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6F52B8">
        <w:rPr>
          <w:rFonts w:ascii="ITC Stone Sans Std Medium" w:hAnsi="ITC Stone Sans Std Medium"/>
          <w:b/>
          <w:bCs/>
          <w:noProof/>
          <w:sz w:val="22"/>
          <w:szCs w:val="22"/>
        </w:rPr>
        <w:t>784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6F52B8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6F52B8">
        <w:rPr>
          <w:rFonts w:ascii="ITC Stone Sans Std Medium" w:hAnsi="ITC Stone Sans Std Medium"/>
          <w:b/>
          <w:noProof/>
          <w:sz w:val="22"/>
          <w:szCs w:val="22"/>
        </w:rPr>
        <w:t>8 DE JUNHO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6F52B8">
        <w:rPr>
          <w:rFonts w:ascii="ITC Stone Sans Std Medium" w:hAnsi="ITC Stone Sans Std Medium"/>
          <w:b/>
          <w:noProof/>
          <w:sz w:val="22"/>
          <w:szCs w:val="22"/>
        </w:rPr>
        <w:t>DISPÕE SOBRE O PROCESSO ADMINISTRATIVO SANCIONADOR NA ESFERA DE ATUAÇÃO DO BANCO CENTRAL DO BRASIL E DA COMISSÃO DE VALORES MOBILIÁRIOS, ALTERA A LEI Nº 4.131, DE 3 DE SETEMBRO DE 1962, A LEI Nº 4.829, DE 5 DE NOVEMBRO DE 1965, A LEI Nº 6.024, DE 13 DE MARÇO DE 1974, A LEI Nº 6.385, DE 7 DE DEZEMBRO DE 1976, A LEI Nº 9.069, DE 29 DE JUNHO DE 1995, A LEI Nº 9.613, DE 3 DE MARÇO DE 1998, A LEI Nº 9.873, DE 23 DE NOVEMBRO DE 1999, A LEI Nº 10.214, DE 27 DE MARÇO DE 2001, A LEI Nº 11.371, DE 28 DE NOVEMBRO DE 2006, A LEI Nº 11.795, DE 8 DE OUTUBRO DE 2008, A LEI Nº 12.810, DE 15 DE MAIO DE 2013, A LEI Nº 12.865, DE 9 DE OUTUBRO DE 2013, O DECRETO Nº 23.258, DE 19 DE OUTUBRO DE 1933, O DECRETO-LEI Nº 9.025, DE 27 DE FEVEREIRO DE 1946 E A MEDIDA PROVISÓRIA Nº 2.224, DE 4 DE SETEMBRO DE 2001,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</w:t>
      </w:r>
      <w:r w:rsidRPr="002D6DE4">
        <w:rPr>
          <w:rFonts w:ascii="ITC Stone Sans Std Medium" w:hAnsi="ITC Stone Sans Std Medium"/>
          <w:b/>
          <w:color w:val="auto"/>
          <w:sz w:val="22"/>
          <w:szCs w:val="22"/>
        </w:rPr>
        <w:t xml:space="preserve">55ª LEGISLATURA, REALIZADA NO </w:t>
      </w:r>
      <w:r w:rsidRPr="002D6DE4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2D6DE4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2D6DE4">
        <w:rPr>
          <w:rFonts w:ascii="ITC Stone Sans Std Medium" w:hAnsi="ITC Stone Sans Std Medium"/>
          <w:b/>
          <w:noProof/>
          <w:color w:val="auto"/>
          <w:sz w:val="22"/>
          <w:szCs w:val="22"/>
        </w:rPr>
        <w:t>22</w:t>
      </w:r>
      <w:r w:rsidRPr="002D6DE4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2D6DE4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AGOSTO DE</w:t>
      </w:r>
      <w:r w:rsidRPr="002D6DE4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2D6DE4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2D6DE4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9356E2" w:rsidRPr="009B1E18" w:rsidRDefault="009356E2" w:rsidP="009B1E18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F50CD1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F50CD1">
        <w:rPr>
          <w:rFonts w:ascii="ITC Stone Sans Std Medium" w:hAnsi="ITC Stone Sans Std Medium" w:cs="Arial"/>
          <w:sz w:val="22"/>
          <w:szCs w:val="22"/>
        </w:rPr>
        <w:t>cinquenta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6F52B8">
        <w:rPr>
          <w:rFonts w:ascii="ITC Stone Sans Std Medium" w:hAnsi="ITC Stone Sans Std Medium" w:cs="Arial"/>
          <w:noProof/>
          <w:sz w:val="22"/>
          <w:szCs w:val="22"/>
        </w:rPr>
        <w:t>vinte e dois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F52B8">
        <w:rPr>
          <w:rFonts w:ascii="ITC Stone Sans Std Medium" w:hAnsi="ITC Stone Sans Std Medium" w:cs="Arial"/>
          <w:noProof/>
          <w:sz w:val="22"/>
          <w:szCs w:val="22"/>
        </w:rPr>
        <w:t>de agosto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F52B8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</w:t>
      </w:r>
      <w:r w:rsidRPr="001D4F80">
        <w:rPr>
          <w:rFonts w:ascii="ITC Stone Sans Std Medium" w:hAnsi="ITC Stone Sans Std Medium" w:cs="Arial"/>
          <w:sz w:val="22"/>
          <w:szCs w:val="22"/>
        </w:rPr>
        <w:t xml:space="preserve">número </w:t>
      </w:r>
      <w:r w:rsidRPr="001D4F80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1D4F80">
        <w:rPr>
          <w:rFonts w:ascii="ITC Stone Sans Std Medium" w:hAnsi="ITC Stone Sans Std Medium" w:cs="Arial"/>
          <w:sz w:val="22"/>
          <w:szCs w:val="22"/>
        </w:rPr>
        <w:softHyphen/>
      </w:r>
      <w:r w:rsidRPr="001D4F80">
        <w:rPr>
          <w:rFonts w:ascii="ITC Stone Sans Std Medium" w:hAnsi="ITC Stone Sans Std Medium" w:cs="Arial"/>
          <w:sz w:val="22"/>
          <w:szCs w:val="22"/>
        </w:rPr>
        <w:softHyphen/>
      </w:r>
      <w:r w:rsidRPr="001D4F80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1D4F80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="00AF7B27" w:rsidRPr="001D4F80">
        <w:rPr>
          <w:rFonts w:ascii="ITC Stone Sans Std Medium" w:hAnsi="ITC Stone Sans Std Medium" w:cs="Arial"/>
          <w:sz w:val="22"/>
          <w:szCs w:val="22"/>
        </w:rPr>
        <w:t>, sob a Presidência</w:t>
      </w:r>
      <w:r w:rsidRPr="001D4F80">
        <w:rPr>
          <w:rFonts w:ascii="ITC Stone Sans Std Medium" w:hAnsi="ITC Stone Sans Std Medium" w:cs="Arial"/>
          <w:sz w:val="22"/>
          <w:szCs w:val="22"/>
        </w:rPr>
        <w:t xml:space="preserve"> d</w:t>
      </w:r>
      <w:r w:rsidR="001D4F80" w:rsidRPr="001D4F80">
        <w:rPr>
          <w:rFonts w:ascii="ITC Stone Sans Std Medium" w:hAnsi="ITC Stone Sans Std Medium" w:cs="Arial"/>
          <w:noProof/>
          <w:sz w:val="22"/>
          <w:szCs w:val="22"/>
        </w:rPr>
        <w:t>a</w:t>
      </w:r>
      <w:r w:rsidRPr="001D4F80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1D4F80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="008B6067" w:rsidRPr="001D4F80">
        <w:rPr>
          <w:rFonts w:ascii="ITC Stone Sans Std Medium" w:hAnsi="ITC Stone Sans Std Medium" w:cs="Arial"/>
          <w:noProof/>
          <w:sz w:val="22"/>
          <w:szCs w:val="22"/>
        </w:rPr>
        <w:t>a</w:t>
      </w:r>
      <w:r w:rsidRPr="001D4F80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8B6067" w:rsidRPr="001D4F80">
        <w:rPr>
          <w:rFonts w:ascii="ITC Stone Sans Std Medium" w:hAnsi="ITC Stone Sans Std Medium" w:cs="Arial"/>
          <w:noProof/>
          <w:sz w:val="22"/>
          <w:szCs w:val="22"/>
        </w:rPr>
        <w:t>Senadora Lídice da Mata</w:t>
      </w:r>
      <w:r w:rsidRPr="001D4F80">
        <w:rPr>
          <w:rFonts w:ascii="ITC Stone Sans Std Medium" w:hAnsi="ITC Stone Sans Std Medium" w:cs="Arial"/>
          <w:sz w:val="22"/>
          <w:szCs w:val="22"/>
        </w:rPr>
        <w:t>, reúne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-se a Comissão Mista da Medida Provisória nº </w:t>
      </w:r>
      <w:r w:rsidRPr="006F52B8">
        <w:rPr>
          <w:rFonts w:ascii="ITC Stone Sans Std Medium" w:hAnsi="ITC Stone Sans Std Medium" w:cs="Arial"/>
          <w:noProof/>
          <w:sz w:val="22"/>
          <w:szCs w:val="22"/>
        </w:rPr>
        <w:t>784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6F52B8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C82110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>Senadores</w:t>
      </w:r>
      <w:r w:rsidR="00C6694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C82110">
        <w:rPr>
          <w:rFonts w:ascii="ITC Stone Sans Std Medium" w:hAnsi="ITC Stone Sans Std Medium" w:cs="Arial"/>
          <w:sz w:val="22"/>
          <w:szCs w:val="22"/>
        </w:rPr>
        <w:t>Flexa Ribeiro, Lídice da Mata, José Agripino; e dos Deputados Jones Martins, Leonardo Quintão, Fabio Garcia, José Carlos Aleluia, Josi Nunes, Del</w:t>
      </w:r>
      <w:r w:rsidR="00DA0098">
        <w:rPr>
          <w:rFonts w:ascii="ITC Stone Sans Std Medium" w:hAnsi="ITC Stone Sans Std Medium" w:cs="Arial"/>
          <w:sz w:val="22"/>
          <w:szCs w:val="22"/>
        </w:rPr>
        <w:t>egado Edson Moreira, Hugo Leal,</w:t>
      </w:r>
      <w:r w:rsidR="00C82110">
        <w:rPr>
          <w:rFonts w:ascii="ITC Stone Sans Std Medium" w:hAnsi="ITC Stone Sans Std Medium" w:cs="Arial"/>
          <w:sz w:val="22"/>
          <w:szCs w:val="22"/>
        </w:rPr>
        <w:t xml:space="preserve"> Pedro Fernandes</w:t>
      </w:r>
      <w:r w:rsidR="00DA0098">
        <w:rPr>
          <w:rFonts w:ascii="ITC Stone Sans Std Medium" w:hAnsi="ITC Stone Sans Std Medium" w:cs="Arial"/>
          <w:sz w:val="22"/>
          <w:szCs w:val="22"/>
        </w:rPr>
        <w:t xml:space="preserve"> e </w:t>
      </w:r>
      <w:r w:rsidR="00DA0098" w:rsidRPr="00DA0098">
        <w:rPr>
          <w:rFonts w:ascii="ITC Stone Sans Std Medium" w:hAnsi="ITC Stone Sans Std Medium" w:cs="Arial"/>
          <w:sz w:val="22"/>
          <w:szCs w:val="22"/>
        </w:rPr>
        <w:t>Giuseppe Vecci</w:t>
      </w:r>
      <w:r w:rsidR="00C82110">
        <w:rPr>
          <w:rFonts w:ascii="ITC Stone Sans Std Medium" w:hAnsi="ITC Stone Sans Std Medium" w:cs="Arial"/>
          <w:sz w:val="22"/>
          <w:szCs w:val="22"/>
        </w:rPr>
        <w:t>.</w:t>
      </w:r>
      <w:r w:rsidRPr="006D7BE6">
        <w:rPr>
          <w:rFonts w:ascii="ITC Stone Sans Std Medium" w:hAnsi="ITC Stone Sans Std Medium" w:cs="Arial"/>
          <w:noProof/>
          <w:sz w:val="22"/>
          <w:szCs w:val="22"/>
        </w:rPr>
        <w:t xml:space="preserve">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4E667D" w:rsidRPr="001421D6">
        <w:rPr>
          <w:rFonts w:ascii="ITC Stone Sans Std Medium" w:hAnsi="ITC Stone Sans Std Medium" w:cs="Arial"/>
          <w:noProof/>
          <w:sz w:val="22"/>
          <w:szCs w:val="22"/>
        </w:rPr>
        <w:t>convida para fazerem suas exposições os seguintes convidados:</w:t>
      </w:r>
      <w:r w:rsidR="001421D6" w:rsidRPr="001421D6">
        <w:rPr>
          <w:rFonts w:ascii="ITC Stone Sans Std Medium" w:hAnsi="ITC Stone Sans Std Medium" w:cs="Arial"/>
          <w:noProof/>
          <w:sz w:val="22"/>
          <w:szCs w:val="22"/>
        </w:rPr>
        <w:t xml:space="preserve"> Isaac Sidney Menezes Ferreira,</w:t>
      </w:r>
      <w:r w:rsidR="004E667D" w:rsidRPr="001421D6">
        <w:rPr>
          <w:rFonts w:ascii="ITC Stone Sans Std Medium" w:hAnsi="ITC Stone Sans Std Medium" w:cs="Arial"/>
          <w:noProof/>
          <w:sz w:val="22"/>
          <w:szCs w:val="22"/>
        </w:rPr>
        <w:t xml:space="preserve"> Diretor de Relacionamento Institucional e Cidadania</w:t>
      </w:r>
      <w:r w:rsidR="00771CC1">
        <w:rPr>
          <w:rFonts w:ascii="ITC Stone Sans Std Medium" w:hAnsi="ITC Stone Sans Std Medium" w:cs="Arial"/>
          <w:noProof/>
          <w:sz w:val="22"/>
          <w:szCs w:val="22"/>
        </w:rPr>
        <w:t>,</w:t>
      </w:r>
      <w:r w:rsidR="004E667D" w:rsidRPr="001421D6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1421D6" w:rsidRPr="001421D6">
        <w:rPr>
          <w:rFonts w:ascii="ITC Stone Sans Std Medium" w:hAnsi="ITC Stone Sans Std Medium" w:cs="Arial"/>
          <w:noProof/>
          <w:sz w:val="22"/>
          <w:szCs w:val="22"/>
        </w:rPr>
        <w:t>e</w:t>
      </w:r>
      <w:r w:rsidR="00771CC1">
        <w:rPr>
          <w:rFonts w:ascii="ITC Stone Sans Std Medium" w:hAnsi="ITC Stone Sans Std Medium" w:cs="Arial"/>
          <w:noProof/>
          <w:sz w:val="22"/>
          <w:szCs w:val="22"/>
        </w:rPr>
        <w:t xml:space="preserve"> Sidnei Corrêa Marques,</w:t>
      </w:r>
      <w:r w:rsidR="004E667D" w:rsidRPr="001421D6">
        <w:rPr>
          <w:rFonts w:ascii="ITC Stone Sans Std Medium" w:hAnsi="ITC Stone Sans Std Medium" w:cs="Arial"/>
          <w:noProof/>
          <w:sz w:val="22"/>
          <w:szCs w:val="22"/>
        </w:rPr>
        <w:t xml:space="preserve"> Diretor de Organização do Sistema Financeiro e de Resolução, </w:t>
      </w:r>
      <w:r w:rsidR="00771CC1">
        <w:rPr>
          <w:rFonts w:ascii="ITC Stone Sans Std Medium" w:hAnsi="ITC Stone Sans Std Medium" w:cs="Arial"/>
          <w:noProof/>
          <w:sz w:val="22"/>
          <w:szCs w:val="22"/>
        </w:rPr>
        <w:t xml:space="preserve">ambos </w:t>
      </w:r>
      <w:r w:rsidR="004E667D" w:rsidRPr="001421D6">
        <w:rPr>
          <w:rFonts w:ascii="ITC Stone Sans Std Medium" w:hAnsi="ITC Stone Sans Std Medium" w:cs="Arial"/>
          <w:noProof/>
          <w:sz w:val="22"/>
          <w:szCs w:val="22"/>
        </w:rPr>
        <w:t xml:space="preserve">representantes do Banco Central do Brasil; </w:t>
      </w:r>
      <w:r w:rsidR="00771CC1">
        <w:rPr>
          <w:rFonts w:ascii="ITC Stone Sans Std Medium" w:hAnsi="ITC Stone Sans Std Medium"/>
          <w:noProof/>
          <w:sz w:val="22"/>
          <w:szCs w:val="22"/>
        </w:rPr>
        <w:t>Pablo Waldemar Renteria,</w:t>
      </w:r>
      <w:r w:rsidR="004E667D" w:rsidRPr="001421D6">
        <w:rPr>
          <w:rFonts w:ascii="ITC Stone Sans Std Medium" w:hAnsi="ITC Stone Sans Std Medium"/>
          <w:noProof/>
          <w:sz w:val="22"/>
          <w:szCs w:val="22"/>
        </w:rPr>
        <w:t xml:space="preserve"> Presidente Interino da Comissão de Valores </w:t>
      </w:r>
      <w:r w:rsidR="004E667D" w:rsidRPr="00F51506">
        <w:rPr>
          <w:rFonts w:ascii="ITC Stone Sans Std Medium" w:hAnsi="ITC Stone Sans Std Medium" w:cs="Arial"/>
          <w:noProof/>
          <w:sz w:val="22"/>
          <w:szCs w:val="22"/>
        </w:rPr>
        <w:t xml:space="preserve">Mobiliários - CVM; </w:t>
      </w:r>
      <w:r w:rsidR="00F51506" w:rsidRPr="00F51506">
        <w:rPr>
          <w:rFonts w:ascii="ITC Stone Sans Std Medium" w:hAnsi="ITC Stone Sans Std Medium" w:cs="Arial"/>
          <w:noProof/>
          <w:sz w:val="22"/>
          <w:szCs w:val="22"/>
        </w:rPr>
        <w:t>Felipe Leitão Valadares Roquete</w:t>
      </w:r>
      <w:r w:rsidR="00800813">
        <w:rPr>
          <w:rFonts w:ascii="ITC Stone Sans Std Medium" w:hAnsi="ITC Stone Sans Std Medium" w:cs="Arial"/>
          <w:noProof/>
          <w:sz w:val="22"/>
          <w:szCs w:val="22"/>
        </w:rPr>
        <w:t>,</w:t>
      </w:r>
      <w:r w:rsidR="00F51506" w:rsidRPr="00F51506">
        <w:rPr>
          <w:rFonts w:ascii="ITC Stone Sans Std Medium" w:hAnsi="ITC Stone Sans Std Medium" w:cs="Arial"/>
          <w:noProof/>
          <w:sz w:val="22"/>
          <w:szCs w:val="22"/>
        </w:rPr>
        <w:t xml:space="preserve"> Coordenador Geral de Análise </w:t>
      </w:r>
      <w:r w:rsidR="00F51506">
        <w:rPr>
          <w:rFonts w:ascii="ITC Stone Sans Std Medium" w:hAnsi="ITC Stone Sans Std Medium" w:cs="Arial"/>
          <w:noProof/>
          <w:sz w:val="22"/>
          <w:szCs w:val="22"/>
        </w:rPr>
        <w:t>Antitruste</w:t>
      </w:r>
      <w:r w:rsidR="00F51506" w:rsidRPr="00F51506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4E667D" w:rsidRPr="00F51506">
        <w:rPr>
          <w:rFonts w:ascii="ITC Stone Sans Std Medium" w:hAnsi="ITC Stone Sans Std Medium" w:cs="Arial"/>
          <w:noProof/>
          <w:sz w:val="22"/>
          <w:szCs w:val="22"/>
        </w:rPr>
        <w:t>do</w:t>
      </w:r>
      <w:r w:rsidR="004E667D" w:rsidRPr="001421D6">
        <w:rPr>
          <w:rFonts w:ascii="ITC Stone Sans Std Medium" w:hAnsi="ITC Stone Sans Std Medium"/>
          <w:noProof/>
          <w:sz w:val="22"/>
          <w:szCs w:val="22"/>
        </w:rPr>
        <w:t xml:space="preserve"> Conselho Admi</w:t>
      </w:r>
      <w:r w:rsidR="00800813">
        <w:rPr>
          <w:rFonts w:ascii="ITC Stone Sans Std Medium" w:hAnsi="ITC Stone Sans Std Medium"/>
          <w:noProof/>
          <w:sz w:val="22"/>
          <w:szCs w:val="22"/>
        </w:rPr>
        <w:t>nistrativo de Defesa Econômica -</w:t>
      </w:r>
      <w:r w:rsidR="004E667D" w:rsidRPr="001421D6">
        <w:rPr>
          <w:rFonts w:ascii="ITC Stone Sans Std Medium" w:hAnsi="ITC Stone Sans Std Medium"/>
          <w:noProof/>
          <w:sz w:val="22"/>
          <w:szCs w:val="22"/>
        </w:rPr>
        <w:t xml:space="preserve"> CADE;</w:t>
      </w:r>
      <w:r w:rsidR="001421D6" w:rsidRPr="001421D6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D37A9F">
        <w:rPr>
          <w:rFonts w:ascii="ITC Stone Sans Std Medium" w:hAnsi="ITC Stone Sans Std Medium"/>
          <w:noProof/>
          <w:sz w:val="22"/>
          <w:szCs w:val="22"/>
        </w:rPr>
        <w:t>Marcelo Antônio Muscogliati,</w:t>
      </w:r>
      <w:r w:rsidR="004E667D" w:rsidRPr="001421D6">
        <w:rPr>
          <w:rFonts w:ascii="ITC Stone Sans Std Medium" w:hAnsi="ITC Stone Sans Std Medium"/>
          <w:noProof/>
          <w:sz w:val="22"/>
          <w:szCs w:val="22"/>
        </w:rPr>
        <w:t xml:space="preserve"> Subprocurador-Geral da República e Coordenador da 5ª Câmara de Coordenação e Revisão (Combate à Corrupção) do Ministério Público Federal; e</w:t>
      </w:r>
      <w:r w:rsidR="00D37A9F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D37A9F" w:rsidRPr="001421D6">
        <w:rPr>
          <w:rFonts w:ascii="ITC Stone Sans Std Medium" w:hAnsi="ITC Stone Sans Std Medium"/>
          <w:noProof/>
          <w:sz w:val="22"/>
          <w:szCs w:val="22"/>
        </w:rPr>
        <w:t>Cr</w:t>
      </w:r>
      <w:r w:rsidR="0030231A">
        <w:rPr>
          <w:rFonts w:ascii="ITC Stone Sans Std Medium" w:hAnsi="ITC Stone Sans Std Medium"/>
          <w:noProof/>
          <w:sz w:val="22"/>
          <w:szCs w:val="22"/>
        </w:rPr>
        <w:t>istiano d</w:t>
      </w:r>
      <w:r w:rsidR="00D37A9F">
        <w:rPr>
          <w:rFonts w:ascii="ITC Stone Sans Std Medium" w:hAnsi="ITC Stone Sans Std Medium"/>
          <w:noProof/>
          <w:sz w:val="22"/>
          <w:szCs w:val="22"/>
        </w:rPr>
        <w:t>e Oliveira Lopes Cozer,</w:t>
      </w:r>
      <w:r w:rsidR="004E667D" w:rsidRPr="001421D6">
        <w:rPr>
          <w:rFonts w:ascii="ITC Stone Sans Std Medium" w:hAnsi="ITC Stone Sans Std Medium"/>
          <w:noProof/>
          <w:sz w:val="22"/>
          <w:szCs w:val="22"/>
        </w:rPr>
        <w:t xml:space="preserve"> Procur</w:t>
      </w:r>
      <w:r w:rsidR="0030231A">
        <w:rPr>
          <w:rFonts w:ascii="ITC Stone Sans Std Medium" w:hAnsi="ITC Stone Sans Std Medium"/>
          <w:noProof/>
          <w:sz w:val="22"/>
          <w:szCs w:val="22"/>
        </w:rPr>
        <w:t xml:space="preserve">ador-Geral do Banco Central e </w:t>
      </w:r>
      <w:r w:rsidR="00D37A9F">
        <w:rPr>
          <w:rFonts w:ascii="ITC Stone Sans Std Medium" w:hAnsi="ITC Stone Sans Std Medium"/>
          <w:noProof/>
          <w:sz w:val="22"/>
          <w:szCs w:val="22"/>
        </w:rPr>
        <w:t>Celso Rocha Serra Filho,</w:t>
      </w:r>
      <w:r w:rsidR="004E667D" w:rsidRPr="001421D6">
        <w:rPr>
          <w:rFonts w:ascii="ITC Stone Sans Std Medium" w:hAnsi="ITC Stone Sans Std Medium"/>
          <w:noProof/>
          <w:sz w:val="22"/>
          <w:szCs w:val="22"/>
        </w:rPr>
        <w:t xml:space="preserve"> Procurador-Chefe junto à Comissão de Valores Mobiliários, </w:t>
      </w:r>
      <w:r w:rsidR="00D37A9F">
        <w:rPr>
          <w:rFonts w:ascii="ITC Stone Sans Std Medium" w:hAnsi="ITC Stone Sans Std Medium"/>
          <w:noProof/>
          <w:sz w:val="22"/>
          <w:szCs w:val="22"/>
        </w:rPr>
        <w:t xml:space="preserve">ambos </w:t>
      </w:r>
      <w:r w:rsidR="004E667D" w:rsidRPr="001421D6">
        <w:rPr>
          <w:rFonts w:ascii="ITC Stone Sans Std Medium" w:hAnsi="ITC Stone Sans Std Medium"/>
          <w:noProof/>
          <w:sz w:val="22"/>
          <w:szCs w:val="22"/>
        </w:rPr>
        <w:t>representantes da Advocacia-Geral da União.</w:t>
      </w:r>
      <w:r w:rsidR="009B1E18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3D60BE">
        <w:rPr>
          <w:rFonts w:ascii="ITC Stone Sans Std Medium" w:hAnsi="ITC Stone Sans Std Medium"/>
          <w:noProof/>
          <w:sz w:val="22"/>
          <w:szCs w:val="22"/>
        </w:rPr>
        <w:t xml:space="preserve">Às quinze horas e seis minutos assume a Presidência o Senhor Deputado Fabio Garcia. </w:t>
      </w:r>
      <w:r w:rsidR="004B57A8">
        <w:rPr>
          <w:rFonts w:ascii="ITC Stone Sans Std Medium" w:hAnsi="ITC Stone Sans Std Medium"/>
          <w:noProof/>
          <w:sz w:val="22"/>
          <w:szCs w:val="22"/>
        </w:rPr>
        <w:t xml:space="preserve">Após as apresentações dos convidados o Presidente passa a palavra à Relatora, Senadora Lídice da Mata para expor suas considerações sobre a matéria. </w:t>
      </w:r>
      <w:r w:rsidR="00E936F4">
        <w:rPr>
          <w:rFonts w:ascii="ITC Stone Sans Std Medium" w:hAnsi="ITC Stone Sans Std Medium"/>
          <w:noProof/>
          <w:sz w:val="22"/>
          <w:szCs w:val="22"/>
        </w:rPr>
        <w:t xml:space="preserve">Em seguida a Presidência passa a palavra aos expositores para últimos esclarecimentos.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6D4720">
        <w:rPr>
          <w:rFonts w:ascii="ITC Stone Sans Std Medium" w:hAnsi="ITC Stone Sans Std Medium" w:cs="Arial"/>
          <w:sz w:val="22"/>
          <w:szCs w:val="22"/>
        </w:rPr>
        <w:t xml:space="preserve">dezesseis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horas e </w:t>
      </w:r>
      <w:r w:rsidR="00842BF1">
        <w:rPr>
          <w:rFonts w:ascii="ITC Stone Sans Std Medium" w:hAnsi="ITC Stone Sans Std Medium" w:cs="Arial"/>
          <w:sz w:val="22"/>
          <w:szCs w:val="22"/>
        </w:rPr>
        <w:t>quarenta e cinco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8B2E6C">
        <w:rPr>
          <w:rFonts w:ascii="ITC Stone Sans Std Medium" w:hAnsi="ITC Stone Sans Std Medium" w:cs="Arial"/>
          <w:bCs/>
          <w:sz w:val="22"/>
          <w:szCs w:val="22"/>
        </w:rPr>
        <w:t>Clarissa Kiwa Scarton Hayashi</w:t>
      </w:r>
      <w:r w:rsidR="004F340E">
        <w:rPr>
          <w:rFonts w:ascii="ITC Stone Sans Std Medium" w:hAnsi="ITC Stone Sans Std Medium" w:cs="Arial"/>
          <w:bCs/>
          <w:sz w:val="22"/>
          <w:szCs w:val="22"/>
        </w:rPr>
        <w:t>,</w:t>
      </w:r>
      <w:r w:rsidR="004F340E">
        <w:rPr>
          <w:rFonts w:ascii="ITC Stone Sans Std Medium" w:hAnsi="ITC Stone Sans Std Medium" w:cs="Arial"/>
          <w:sz w:val="22"/>
          <w:szCs w:val="22"/>
        </w:rPr>
        <w:t xml:space="preserve"> Secretária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Comissão, a presente Ata, que será assinada pel</w:t>
      </w:r>
      <w:r w:rsidR="00C8496D">
        <w:rPr>
          <w:rFonts w:ascii="ITC Stone Sans Std Medium" w:hAnsi="ITC Stone Sans Std Medium" w:cs="Arial"/>
          <w:noProof/>
          <w:sz w:val="22"/>
          <w:szCs w:val="22"/>
        </w:rPr>
        <w:t>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</w:t>
      </w:r>
      <w:r w:rsidR="00C8496D">
        <w:rPr>
          <w:rFonts w:ascii="ITC Stone Sans Std Medium" w:hAnsi="ITC Stone Sans Std Medium" w:cs="Arial"/>
          <w:sz w:val="22"/>
          <w:szCs w:val="22"/>
        </w:rPr>
        <w:t>a Relatora</w:t>
      </w:r>
      <w:r w:rsidRPr="003136F6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C8496D">
        <w:rPr>
          <w:rFonts w:ascii="ITC Stone Sans Std Medium" w:hAnsi="ITC Stone Sans Std Medium" w:cs="Arial"/>
          <w:noProof/>
          <w:sz w:val="22"/>
          <w:szCs w:val="22"/>
        </w:rPr>
        <w:t>Senadora Lídice da Mata</w:t>
      </w:r>
      <w:r w:rsidRPr="003136F6"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4F340E">
        <w:rPr>
          <w:rFonts w:ascii="ITC Stone Sans Std Medium" w:hAnsi="ITC Stone Sans Std Medium" w:cs="Arial"/>
          <w:sz w:val="22"/>
          <w:szCs w:val="22"/>
        </w:rPr>
        <w:t>.</w:t>
      </w:r>
    </w:p>
    <w:p w:rsidR="009356E2" w:rsidRPr="006D7BE6" w:rsidRDefault="009356E2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9356E2" w:rsidRPr="003136F6" w:rsidRDefault="00C8496D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sz w:val="22"/>
          <w:szCs w:val="22"/>
        </w:rPr>
      </w:pPr>
      <w:r>
        <w:rPr>
          <w:rFonts w:ascii="ITC Stone Sans Std Medium" w:hAnsi="ITC Stone Sans Std Medium" w:cs="Arial"/>
          <w:b/>
          <w:noProof/>
          <w:sz w:val="22"/>
          <w:szCs w:val="22"/>
        </w:rPr>
        <w:t>Senadora Lídice da Mata</w:t>
      </w:r>
    </w:p>
    <w:p w:rsidR="009356E2" w:rsidRDefault="00C8496D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>
        <w:rPr>
          <w:rFonts w:ascii="ITC Stone Sans Std Medium" w:hAnsi="ITC Stone Sans Std Medium" w:cs="Arial"/>
          <w:color w:val="000000"/>
          <w:sz w:val="22"/>
          <w:szCs w:val="22"/>
        </w:rPr>
        <w:t>Relatora</w:t>
      </w:r>
      <w:bookmarkStart w:id="0" w:name="_GoBack"/>
      <w:bookmarkEnd w:id="0"/>
    </w:p>
    <w:p w:rsidR="009356E2" w:rsidRDefault="009356E2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9356E2" w:rsidRDefault="009356E2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9356E2" w:rsidRPr="003A2E80" w:rsidRDefault="009356E2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3A2E80">
        <w:rPr>
          <w:rFonts w:ascii="ITC Stone Sans Std Medium" w:hAnsi="ITC Stone Sans Std Medium" w:cs="Arial"/>
          <w:color w:val="000000"/>
          <w:sz w:val="22"/>
          <w:szCs w:val="22"/>
        </w:rPr>
        <w:t>Esta reunião está disponível em áudio e vídeo no link abaixo:</w:t>
      </w:r>
    </w:p>
    <w:p w:rsidR="009356E2" w:rsidRPr="003A2E80" w:rsidRDefault="00724CA0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3A2E80">
        <w:rPr>
          <w:rFonts w:ascii="ITC Stone Sans Std Medium" w:hAnsi="ITC Stone Sans Std Medium" w:cs="Arial"/>
          <w:color w:val="000000"/>
          <w:sz w:val="22"/>
          <w:szCs w:val="22"/>
        </w:rPr>
        <w:t>https://www.youtube.com/watch?v=N0QEdZJOttc.</w:t>
      </w:r>
    </w:p>
    <w:sectPr w:rsidR="009356E2" w:rsidRPr="003A2E80" w:rsidSect="00724CA0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0EEE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21D6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4F80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5AA5"/>
    <w:rsid w:val="00296C43"/>
    <w:rsid w:val="002A59DA"/>
    <w:rsid w:val="002B0EF2"/>
    <w:rsid w:val="002B1C16"/>
    <w:rsid w:val="002B260D"/>
    <w:rsid w:val="002B6BC6"/>
    <w:rsid w:val="002C4139"/>
    <w:rsid w:val="002D43BD"/>
    <w:rsid w:val="002D54D3"/>
    <w:rsid w:val="002D6DE4"/>
    <w:rsid w:val="002D6FEF"/>
    <w:rsid w:val="002F156B"/>
    <w:rsid w:val="00300B89"/>
    <w:rsid w:val="00301CFD"/>
    <w:rsid w:val="0030231A"/>
    <w:rsid w:val="003136F6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A2E80"/>
    <w:rsid w:val="003B2181"/>
    <w:rsid w:val="003C0266"/>
    <w:rsid w:val="003C0FE3"/>
    <w:rsid w:val="003C13E4"/>
    <w:rsid w:val="003C66C8"/>
    <w:rsid w:val="003D046A"/>
    <w:rsid w:val="003D60BE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7EA9"/>
    <w:rsid w:val="00471F19"/>
    <w:rsid w:val="00476AAC"/>
    <w:rsid w:val="004805E7"/>
    <w:rsid w:val="00485877"/>
    <w:rsid w:val="00494BCD"/>
    <w:rsid w:val="004A3C9D"/>
    <w:rsid w:val="004A3E8C"/>
    <w:rsid w:val="004A77F9"/>
    <w:rsid w:val="004B57A8"/>
    <w:rsid w:val="004C2EFC"/>
    <w:rsid w:val="004D349C"/>
    <w:rsid w:val="004D6835"/>
    <w:rsid w:val="004D7BBD"/>
    <w:rsid w:val="004E2065"/>
    <w:rsid w:val="004E2668"/>
    <w:rsid w:val="004E667D"/>
    <w:rsid w:val="004F23BF"/>
    <w:rsid w:val="004F340E"/>
    <w:rsid w:val="004F3C0B"/>
    <w:rsid w:val="00507F48"/>
    <w:rsid w:val="00515B84"/>
    <w:rsid w:val="00526CE3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C3A5C"/>
    <w:rsid w:val="006D4720"/>
    <w:rsid w:val="006D7BE6"/>
    <w:rsid w:val="006E4C2E"/>
    <w:rsid w:val="00724CA0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1CC1"/>
    <w:rsid w:val="007724BE"/>
    <w:rsid w:val="0078181F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0813"/>
    <w:rsid w:val="00802FF8"/>
    <w:rsid w:val="00822DE3"/>
    <w:rsid w:val="008278F1"/>
    <w:rsid w:val="0083688C"/>
    <w:rsid w:val="00842BF1"/>
    <w:rsid w:val="008553DE"/>
    <w:rsid w:val="00871244"/>
    <w:rsid w:val="008721DC"/>
    <w:rsid w:val="00873947"/>
    <w:rsid w:val="00880C76"/>
    <w:rsid w:val="00882638"/>
    <w:rsid w:val="00890CE8"/>
    <w:rsid w:val="00892184"/>
    <w:rsid w:val="008923B0"/>
    <w:rsid w:val="008A4EFD"/>
    <w:rsid w:val="008B2E6C"/>
    <w:rsid w:val="008B4F23"/>
    <w:rsid w:val="008B6067"/>
    <w:rsid w:val="008D6133"/>
    <w:rsid w:val="008E3CC2"/>
    <w:rsid w:val="00900692"/>
    <w:rsid w:val="009033FC"/>
    <w:rsid w:val="009039D8"/>
    <w:rsid w:val="009210F6"/>
    <w:rsid w:val="00921338"/>
    <w:rsid w:val="009356E2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1E18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757F"/>
    <w:rsid w:val="00AF7B27"/>
    <w:rsid w:val="00B02F66"/>
    <w:rsid w:val="00B1368E"/>
    <w:rsid w:val="00B2448E"/>
    <w:rsid w:val="00B305C9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066DB"/>
    <w:rsid w:val="00C13BA1"/>
    <w:rsid w:val="00C55AAE"/>
    <w:rsid w:val="00C61F0E"/>
    <w:rsid w:val="00C6584C"/>
    <w:rsid w:val="00C66946"/>
    <w:rsid w:val="00C71381"/>
    <w:rsid w:val="00C775B8"/>
    <w:rsid w:val="00C80F44"/>
    <w:rsid w:val="00C82110"/>
    <w:rsid w:val="00C8284D"/>
    <w:rsid w:val="00C839B2"/>
    <w:rsid w:val="00C8496D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37A9F"/>
    <w:rsid w:val="00D4609E"/>
    <w:rsid w:val="00D53EA8"/>
    <w:rsid w:val="00D62F74"/>
    <w:rsid w:val="00D662CA"/>
    <w:rsid w:val="00D721D0"/>
    <w:rsid w:val="00D737D9"/>
    <w:rsid w:val="00D95EF4"/>
    <w:rsid w:val="00DA0098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7731C"/>
    <w:rsid w:val="00E80485"/>
    <w:rsid w:val="00E80D5C"/>
    <w:rsid w:val="00E936F4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50CD1"/>
    <w:rsid w:val="00F51506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B20C5-D940-4653-981E-35F08EDC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paragraph" w:customStyle="1" w:styleId="CM2">
    <w:name w:val="CM2"/>
    <w:basedOn w:val="Default"/>
    <w:next w:val="Default"/>
    <w:uiPriority w:val="99"/>
    <w:rsid w:val="004E667D"/>
    <w:pPr>
      <w:widowControl w:val="0"/>
    </w:pPr>
    <w:rPr>
      <w:rFonts w:eastAsiaTheme="minorEastAsia"/>
      <w:color w:val="auto"/>
    </w:rPr>
  </w:style>
  <w:style w:type="paragraph" w:customStyle="1" w:styleId="CM1">
    <w:name w:val="CM1"/>
    <w:basedOn w:val="Default"/>
    <w:next w:val="Default"/>
    <w:uiPriority w:val="99"/>
    <w:rsid w:val="004E667D"/>
    <w:pPr>
      <w:widowControl w:val="0"/>
      <w:spacing w:line="276" w:lineRule="atLeast"/>
    </w:pPr>
    <w:rPr>
      <w:rFonts w:eastAsiaTheme="minor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D6838A-B53C-4487-B410-7624500E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Clarissa Kiwa Scarton Hayashi</cp:lastModifiedBy>
  <cp:revision>45</cp:revision>
  <cp:lastPrinted>2012-06-06T19:30:00Z</cp:lastPrinted>
  <dcterms:created xsi:type="dcterms:W3CDTF">2017-08-22T10:47:00Z</dcterms:created>
  <dcterms:modified xsi:type="dcterms:W3CDTF">2017-08-29T11:23:00Z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