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39" w:rsidRDefault="00976039" w:rsidP="0070078D">
      <w:pPr>
        <w:pStyle w:val="Recuodecorpodetexto"/>
        <w:ind w:firstLine="0"/>
        <w:jc w:val="center"/>
        <w:rPr>
          <w:b/>
          <w:bCs/>
        </w:rPr>
      </w:pPr>
    </w:p>
    <w:p w:rsidR="00095C99" w:rsidRPr="006B51FC" w:rsidRDefault="0070078D" w:rsidP="0070078D">
      <w:pPr>
        <w:pStyle w:val="Recuodecorpodetexto"/>
        <w:ind w:firstLine="0"/>
        <w:jc w:val="center"/>
        <w:rPr>
          <w:b/>
          <w:bCs/>
        </w:rPr>
      </w:pPr>
      <w:r w:rsidRPr="006B51FC">
        <w:rPr>
          <w:b/>
          <w:bCs/>
        </w:rPr>
        <w:t xml:space="preserve">PARECER </w:t>
      </w:r>
      <w:proofErr w:type="gramStart"/>
      <w:r w:rsidRPr="006B51FC">
        <w:rPr>
          <w:b/>
          <w:bCs/>
        </w:rPr>
        <w:t>N</w:t>
      </w:r>
      <w:r w:rsidR="00B96507" w:rsidRPr="006B51FC">
        <w:rPr>
          <w:b/>
          <w:bCs/>
        </w:rPr>
        <w:t>º</w:t>
      </w:r>
      <w:r w:rsidRPr="006B51FC">
        <w:rPr>
          <w:b/>
          <w:bCs/>
          <w:vertAlign w:val="superscript"/>
        </w:rPr>
        <w:t xml:space="preserve"> </w:t>
      </w:r>
      <w:r w:rsidR="00761A09">
        <w:rPr>
          <w:b/>
          <w:bCs/>
        </w:rPr>
        <w:t xml:space="preserve">         </w:t>
      </w:r>
      <w:r w:rsidRPr="006B51FC">
        <w:rPr>
          <w:b/>
          <w:bCs/>
        </w:rPr>
        <w:t>,</w:t>
      </w:r>
      <w:proofErr w:type="gramEnd"/>
      <w:r w:rsidRPr="006B51FC">
        <w:rPr>
          <w:b/>
          <w:bCs/>
        </w:rPr>
        <w:t xml:space="preserve"> DE 20</w:t>
      </w:r>
      <w:r w:rsidR="006F6B46">
        <w:rPr>
          <w:b/>
          <w:bCs/>
        </w:rPr>
        <w:t>21</w:t>
      </w:r>
    </w:p>
    <w:p w:rsidR="00356CC4" w:rsidRDefault="00356CC4" w:rsidP="00356CC4">
      <w:pPr>
        <w:ind w:left="4678"/>
        <w:rPr>
          <w:b/>
        </w:rPr>
      </w:pPr>
    </w:p>
    <w:p w:rsidR="00976039" w:rsidRDefault="00976039" w:rsidP="00356CC4">
      <w:pPr>
        <w:ind w:left="4678"/>
        <w:rPr>
          <w:b/>
        </w:rPr>
      </w:pPr>
    </w:p>
    <w:p w:rsidR="00006CD2" w:rsidRDefault="00006CD2" w:rsidP="00356CC4">
      <w:pPr>
        <w:ind w:left="4678"/>
        <w:rPr>
          <w:b/>
        </w:rPr>
      </w:pPr>
    </w:p>
    <w:p w:rsidR="00356CC4" w:rsidRDefault="0070078D" w:rsidP="00356CC4">
      <w:pPr>
        <w:ind w:left="4678"/>
        <w:jc w:val="both"/>
      </w:pPr>
      <w:r w:rsidRPr="006B51FC">
        <w:rPr>
          <w:b/>
        </w:rPr>
        <w:t xml:space="preserve">Da </w:t>
      </w:r>
      <w:r w:rsidR="0054705F" w:rsidRPr="006B51FC">
        <w:rPr>
          <w:b/>
        </w:rPr>
        <w:t xml:space="preserve">Comissão de </w:t>
      </w:r>
      <w:r w:rsidR="009D6273">
        <w:rPr>
          <w:b/>
        </w:rPr>
        <w:t>Relações Exteriores e Defesa Nacional</w:t>
      </w:r>
      <w:r w:rsidR="00345B55">
        <w:rPr>
          <w:b/>
        </w:rPr>
        <w:t xml:space="preserve"> - CRE</w:t>
      </w:r>
      <w:r w:rsidR="00095C99" w:rsidRPr="006B51FC">
        <w:t xml:space="preserve">, sobre </w:t>
      </w:r>
      <w:r w:rsidR="0054705F" w:rsidRPr="006B51FC">
        <w:t xml:space="preserve">as emendas a serem apresentadas por esta Comissão ao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 – PLN </w:t>
      </w:r>
      <w:r w:rsidR="0054705F" w:rsidRPr="006B51FC">
        <w:t xml:space="preserve">nº </w:t>
      </w:r>
      <w:r w:rsidR="00DA1C04">
        <w:t>0</w:t>
      </w:r>
      <w:r w:rsidR="006F6B46">
        <w:t>19</w:t>
      </w:r>
      <w:r w:rsidR="00496720">
        <w:t>/</w:t>
      </w:r>
      <w:r w:rsidR="0054705F" w:rsidRPr="006B51FC">
        <w:t>20</w:t>
      </w:r>
      <w:r w:rsidR="006F6B46">
        <w:t>21</w:t>
      </w:r>
      <w:r w:rsidR="00496720">
        <w:t xml:space="preserve"> – </w:t>
      </w:r>
      <w:r w:rsidR="0054705F" w:rsidRPr="006B51FC">
        <w:t>CN</w:t>
      </w:r>
      <w:r w:rsidR="00496720">
        <w:t>,</w:t>
      </w:r>
      <w:r w:rsidR="0054705F" w:rsidRPr="006B51FC">
        <w:t xml:space="preserve"> que </w:t>
      </w:r>
      <w:r w:rsidR="00894416">
        <w:t>e</w:t>
      </w:r>
      <w:r w:rsidR="00894416" w:rsidRPr="00894416">
        <w:t>stima a receita e fixa a despesa da União par</w:t>
      </w:r>
      <w:r w:rsidR="00B138EC">
        <w:t>a o exercício financeiro de 20</w:t>
      </w:r>
      <w:r w:rsidR="006F6B46">
        <w:t>22</w:t>
      </w:r>
      <w:r w:rsidR="00095C99" w:rsidRPr="006B51FC">
        <w:t>.</w:t>
      </w:r>
    </w:p>
    <w:p w:rsidR="00356CC4" w:rsidRDefault="00356CC4" w:rsidP="00356CC4">
      <w:pPr>
        <w:ind w:left="4678"/>
        <w:rPr>
          <w:b/>
        </w:rPr>
      </w:pPr>
    </w:p>
    <w:p w:rsidR="00356CC4" w:rsidRDefault="00095C99" w:rsidP="00356CC4">
      <w:pPr>
        <w:ind w:left="4678"/>
        <w:jc w:val="both"/>
      </w:pPr>
      <w:r w:rsidRPr="006B51FC">
        <w:rPr>
          <w:b/>
        </w:rPr>
        <w:t>Autor:</w:t>
      </w:r>
      <w:r w:rsidR="006B51FC" w:rsidRPr="006B51FC">
        <w:rPr>
          <w:b/>
        </w:rPr>
        <w:t xml:space="preserve"> </w:t>
      </w:r>
      <w:r w:rsidR="009D6273" w:rsidRPr="00E10CBD">
        <w:t xml:space="preserve">Comissão de Relações Exteriores e Defesa Nacional </w:t>
      </w:r>
      <w:r w:rsidR="00E91B5D" w:rsidRPr="00E10CBD">
        <w:t>(</w:t>
      </w:r>
      <w:r w:rsidR="009D6273" w:rsidRPr="00E10CBD">
        <w:t>CRE</w:t>
      </w:r>
      <w:r w:rsidR="00D956F6" w:rsidRPr="00E10CBD">
        <w:t>)</w:t>
      </w:r>
    </w:p>
    <w:p w:rsidR="00356CC4" w:rsidRDefault="00356CC4" w:rsidP="00356CC4">
      <w:pPr>
        <w:ind w:left="4678"/>
        <w:rPr>
          <w:b/>
        </w:rPr>
      </w:pPr>
    </w:p>
    <w:p w:rsidR="00095C99" w:rsidRPr="006B51FC" w:rsidRDefault="002E026D" w:rsidP="00356CC4">
      <w:pPr>
        <w:ind w:left="4678"/>
        <w:jc w:val="both"/>
        <w:rPr>
          <w:b/>
        </w:rPr>
      </w:pPr>
      <w:r w:rsidRPr="006B51FC">
        <w:rPr>
          <w:b/>
        </w:rPr>
        <w:t xml:space="preserve">Relator: </w:t>
      </w:r>
      <w:r w:rsidR="00B31775">
        <w:rPr>
          <w:b/>
        </w:rPr>
        <w:t xml:space="preserve">Senador Marcos do Val </w:t>
      </w:r>
      <w:r w:rsidR="009D6273" w:rsidRPr="00CE0B80">
        <w:t>(P</w:t>
      </w:r>
      <w:r w:rsidR="00623091">
        <w:t>ODEMOS</w:t>
      </w:r>
      <w:r w:rsidR="009D6273" w:rsidRPr="00CE0B80">
        <w:t>/</w:t>
      </w:r>
      <w:r w:rsidR="00623091">
        <w:t>E</w:t>
      </w:r>
      <w:r w:rsidR="00CE0B80" w:rsidRPr="00CE0B80">
        <w:t>S</w:t>
      </w:r>
      <w:r w:rsidR="009D6273" w:rsidRPr="00CE0B80">
        <w:t>)</w:t>
      </w:r>
    </w:p>
    <w:p w:rsidR="0077665C" w:rsidRDefault="0077665C" w:rsidP="00095C99"/>
    <w:p w:rsidR="005F44A4" w:rsidRDefault="005F44A4" w:rsidP="00095C99"/>
    <w:p w:rsidR="00976039" w:rsidRDefault="00976039" w:rsidP="00095C99"/>
    <w:p w:rsidR="00006CD2" w:rsidRPr="006B51FC" w:rsidRDefault="00006CD2" w:rsidP="00095C99"/>
    <w:p w:rsidR="00095C99" w:rsidRDefault="00095C99" w:rsidP="00095C99">
      <w:pPr>
        <w:pStyle w:val="Ttulo1"/>
      </w:pPr>
      <w:r w:rsidRPr="006B51FC">
        <w:t>I – Relatório</w:t>
      </w:r>
    </w:p>
    <w:p w:rsidR="005F44A4" w:rsidRPr="005F44A4" w:rsidRDefault="005F44A4" w:rsidP="005F44A4"/>
    <w:p w:rsidR="0048317A" w:rsidRPr="006B51FC" w:rsidRDefault="00345B55" w:rsidP="004C1131">
      <w:pPr>
        <w:pStyle w:val="Recuodecorpodetexto"/>
      </w:pPr>
      <w:r>
        <w:t>Conforme</w:t>
      </w:r>
      <w:r w:rsidR="00187E39" w:rsidRPr="006B51FC">
        <w:t xml:space="preserve"> disposto no</w:t>
      </w:r>
      <w:r w:rsidR="0054705F" w:rsidRPr="006B51FC">
        <w:t xml:space="preserve"> art. 166 da Constituiç</w:t>
      </w:r>
      <w:r w:rsidR="00260045" w:rsidRPr="006B51FC">
        <w:t>ão</w:t>
      </w:r>
      <w:r w:rsidR="00187E39" w:rsidRPr="006B51FC">
        <w:t xml:space="preserve"> </w:t>
      </w:r>
      <w:r w:rsidR="00E10CBD">
        <w:t xml:space="preserve">Federal </w:t>
      </w:r>
      <w:r w:rsidR="00187E39" w:rsidRPr="006B51FC">
        <w:t>e nos termos</w:t>
      </w:r>
      <w:r w:rsidR="00A96147" w:rsidRPr="006B51FC">
        <w:t xml:space="preserve"> </w:t>
      </w:r>
      <w:r w:rsidR="00260045" w:rsidRPr="006B51FC">
        <w:t xml:space="preserve">da </w:t>
      </w:r>
      <w:r w:rsidR="003A6653" w:rsidRPr="006B51FC">
        <w:t>R</w:t>
      </w:r>
      <w:r w:rsidR="0054705F" w:rsidRPr="006B51FC">
        <w:t>esolução nº 1</w:t>
      </w:r>
      <w:r w:rsidR="00E10CBD">
        <w:t>/</w:t>
      </w:r>
      <w:r w:rsidR="0054705F" w:rsidRPr="006B51FC">
        <w:t xml:space="preserve"> 2006</w:t>
      </w:r>
      <w:r w:rsidR="00E10CBD">
        <w:t xml:space="preserve"> –</w:t>
      </w:r>
      <w:r w:rsidR="004938C9">
        <w:t xml:space="preserve"> </w:t>
      </w:r>
      <w:r w:rsidR="0054705F" w:rsidRPr="006B51FC">
        <w:t xml:space="preserve">CN, encontra-se em tramitação, no Congresso Nacional, 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</w:t>
      </w:r>
      <w:r w:rsidR="0054705F" w:rsidRPr="006B51FC">
        <w:t xml:space="preserve"> </w:t>
      </w:r>
      <w:r w:rsidR="0054705F" w:rsidRPr="00315225">
        <w:t>nº</w:t>
      </w:r>
      <w:r w:rsidR="00894416" w:rsidRPr="00315225">
        <w:t> </w:t>
      </w:r>
      <w:r w:rsidR="006F6B46">
        <w:t>19</w:t>
      </w:r>
      <w:r w:rsidR="00E10CBD">
        <w:t>/</w:t>
      </w:r>
      <w:r w:rsidR="0054705F" w:rsidRPr="006B51FC">
        <w:t>20</w:t>
      </w:r>
      <w:r w:rsidR="006F6B46">
        <w:t>21</w:t>
      </w:r>
      <w:r w:rsidR="00E10CBD">
        <w:t xml:space="preserve"> – </w:t>
      </w:r>
      <w:r w:rsidR="0054705F" w:rsidRPr="006B51FC">
        <w:t>CN</w:t>
      </w:r>
      <w:r w:rsidR="00E10CBD">
        <w:t>,</w:t>
      </w:r>
      <w:r w:rsidR="0054705F" w:rsidRPr="006B51FC">
        <w:t xml:space="preserve"> que </w:t>
      </w:r>
      <w:r w:rsidR="00894416" w:rsidRPr="00894416">
        <w:t>estima a receita e fixa a despesa da União par</w:t>
      </w:r>
      <w:r w:rsidR="00EC17FF">
        <w:t>a o exercício financeiro de 20</w:t>
      </w:r>
      <w:r w:rsidR="006F6B46">
        <w:t>22</w:t>
      </w:r>
      <w:r w:rsidR="00894416">
        <w:t xml:space="preserve"> (Projeto de Le</w:t>
      </w:r>
      <w:r w:rsidR="00EC17FF">
        <w:t>i Orçamentária Anual – PLOA 20</w:t>
      </w:r>
      <w:r w:rsidR="006F6B46">
        <w:t>22</w:t>
      </w:r>
      <w:r w:rsidR="00894416">
        <w:t>)</w:t>
      </w:r>
      <w:r w:rsidR="004C1131">
        <w:t>.</w:t>
      </w:r>
    </w:p>
    <w:p w:rsidR="00FB23E6" w:rsidRDefault="00260045" w:rsidP="00FB23E6">
      <w:pPr>
        <w:pStyle w:val="Recuodecorpodetexto"/>
      </w:pPr>
      <w:r w:rsidRPr="006B51FC">
        <w:t xml:space="preserve">De acordo com </w:t>
      </w:r>
      <w:r w:rsidR="00345B55">
        <w:t>o</w:t>
      </w:r>
      <w:r w:rsidR="00345B55" w:rsidRPr="006B51FC">
        <w:t xml:space="preserve"> art. </w:t>
      </w:r>
      <w:r w:rsidR="00C44E95">
        <w:t>4</w:t>
      </w:r>
      <w:r w:rsidR="00487EEA">
        <w:t>4, § 1º,</w:t>
      </w:r>
      <w:r w:rsidR="00345B55">
        <w:t xml:space="preserve"> da </w:t>
      </w:r>
      <w:r w:rsidR="003A6653" w:rsidRPr="006B51FC">
        <w:t>R</w:t>
      </w:r>
      <w:r w:rsidRPr="006B51FC">
        <w:t>esolução nº 1</w:t>
      </w:r>
      <w:r w:rsidR="002C3601">
        <w:t>/</w:t>
      </w:r>
      <w:r w:rsidRPr="006B51FC">
        <w:t>2006</w:t>
      </w:r>
      <w:r w:rsidR="002C3601">
        <w:t xml:space="preserve"> – </w:t>
      </w:r>
      <w:r w:rsidRPr="006B51FC">
        <w:t>CN</w:t>
      </w:r>
      <w:r w:rsidR="002C3601">
        <w:t>,</w:t>
      </w:r>
      <w:r w:rsidR="00A96147" w:rsidRPr="006B51FC">
        <w:t xml:space="preserve"> </w:t>
      </w:r>
      <w:r w:rsidR="00E91B5D" w:rsidRPr="006B51FC">
        <w:t xml:space="preserve">a </w:t>
      </w:r>
      <w:r w:rsidR="00A809BB">
        <w:rPr>
          <w:color w:val="000000"/>
        </w:rPr>
        <w:t xml:space="preserve">Comissão de </w:t>
      </w:r>
      <w:r w:rsidR="00A809BB" w:rsidRPr="00327C5F">
        <w:rPr>
          <w:color w:val="000000"/>
        </w:rPr>
        <w:t xml:space="preserve">Relações Exteriores e Defesa Nacional </w:t>
      </w:r>
      <w:r w:rsidR="00A809BB" w:rsidRPr="000E4D99">
        <w:rPr>
          <w:color w:val="000000"/>
        </w:rPr>
        <w:t>–</w:t>
      </w:r>
      <w:r w:rsidR="00A809BB">
        <w:rPr>
          <w:color w:val="000000"/>
        </w:rPr>
        <w:t xml:space="preserve"> </w:t>
      </w:r>
      <w:r w:rsidR="00E91B5D" w:rsidRPr="006B51FC">
        <w:t>C</w:t>
      </w:r>
      <w:r w:rsidR="00D91A70">
        <w:t>RE</w:t>
      </w:r>
      <w:r w:rsidR="00FB23E6">
        <w:t xml:space="preserve">, </w:t>
      </w:r>
      <w:r w:rsidR="00FB23E6" w:rsidRPr="006B51FC">
        <w:t>na condição de autor de emenda coletiva</w:t>
      </w:r>
      <w:r w:rsidR="00F625D6">
        <w:t xml:space="preserve"> à despesa</w:t>
      </w:r>
      <w:r w:rsidR="00FB23E6">
        <w:t>,</w:t>
      </w:r>
      <w:r w:rsidR="00060284" w:rsidRPr="006B51FC">
        <w:t xml:space="preserve"> </w:t>
      </w:r>
      <w:r w:rsidR="00E91B5D" w:rsidRPr="006B51FC">
        <w:t>tem</w:t>
      </w:r>
      <w:r w:rsidR="00060284" w:rsidRPr="006B51FC">
        <w:t xml:space="preserve"> </w:t>
      </w:r>
      <w:r w:rsidR="00E91B5D" w:rsidRPr="006B51FC">
        <w:t>competência</w:t>
      </w:r>
      <w:r w:rsidR="00060284" w:rsidRPr="006B51FC">
        <w:t xml:space="preserve"> para propor </w:t>
      </w:r>
      <w:r w:rsidR="00FB23E6">
        <w:t>ao PLOA 20</w:t>
      </w:r>
      <w:r w:rsidR="006104B3">
        <w:t>22</w:t>
      </w:r>
      <w:r w:rsidR="00FB23E6">
        <w:t xml:space="preserve"> </w:t>
      </w:r>
      <w:r w:rsidR="003A407D">
        <w:t>8</w:t>
      </w:r>
      <w:r w:rsidR="00FB23E6">
        <w:t xml:space="preserve"> (</w:t>
      </w:r>
      <w:r w:rsidR="003A407D">
        <w:t>oito</w:t>
      </w:r>
      <w:r w:rsidR="00FB23E6">
        <w:t xml:space="preserve">) emendas à despesa, sendo </w:t>
      </w:r>
      <w:proofErr w:type="gramStart"/>
      <w:r w:rsidR="003A407D">
        <w:t>4</w:t>
      </w:r>
      <w:proofErr w:type="gramEnd"/>
      <w:r w:rsidR="00FB23E6">
        <w:t xml:space="preserve"> (</w:t>
      </w:r>
      <w:r w:rsidR="003A407D">
        <w:t>quatro</w:t>
      </w:r>
      <w:r w:rsidR="00FB23E6">
        <w:t xml:space="preserve">) de apropriação e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>) de remanejamento.</w:t>
      </w:r>
      <w:r w:rsidR="00060284" w:rsidRPr="006B51FC">
        <w:t xml:space="preserve"> </w:t>
      </w:r>
    </w:p>
    <w:p w:rsidR="00520E9E" w:rsidRPr="00C90F08" w:rsidRDefault="0056175C" w:rsidP="001B6D2E">
      <w:pPr>
        <w:pStyle w:val="Recuodecorpodetexto"/>
        <w:ind w:firstLine="0"/>
      </w:pPr>
      <w:proofErr w:type="gramStart"/>
      <w:r w:rsidRPr="006B51FC">
        <w:rPr>
          <w:color w:val="000000"/>
        </w:rPr>
        <w:t>Encontra</w:t>
      </w:r>
      <w:r w:rsidR="00AF7AB6">
        <w:rPr>
          <w:color w:val="000000"/>
        </w:rPr>
        <w:t>m</w:t>
      </w:r>
      <w:r w:rsidRPr="006B51FC">
        <w:rPr>
          <w:color w:val="000000"/>
        </w:rPr>
        <w:t>-se</w:t>
      </w:r>
      <w:proofErr w:type="gramEnd"/>
      <w:r w:rsidR="005353C2" w:rsidRPr="006B51FC">
        <w:rPr>
          <w:color w:val="000000"/>
        </w:rPr>
        <w:t xml:space="preserve"> em análi</w:t>
      </w:r>
      <w:r w:rsidR="00335958">
        <w:rPr>
          <w:color w:val="000000"/>
        </w:rPr>
        <w:t>se, por esta</w:t>
      </w:r>
      <w:r w:rsidR="00327C5F" w:rsidRPr="00327C5F">
        <w:rPr>
          <w:color w:val="000000"/>
        </w:rPr>
        <w:t xml:space="preserve"> </w:t>
      </w:r>
      <w:r w:rsidR="00327C5F">
        <w:rPr>
          <w:color w:val="000000"/>
        </w:rPr>
        <w:t xml:space="preserve">Comissão de </w:t>
      </w:r>
      <w:r w:rsidR="00327C5F" w:rsidRPr="00327C5F">
        <w:rPr>
          <w:color w:val="000000"/>
        </w:rPr>
        <w:t xml:space="preserve">Relações Exteriores e Defesa Nacional - </w:t>
      </w:r>
      <w:r w:rsidR="00327C5F" w:rsidRPr="00C90F08">
        <w:t>CRE</w:t>
      </w:r>
      <w:r w:rsidR="005353C2" w:rsidRPr="00C90F08">
        <w:t xml:space="preserve">, </w:t>
      </w:r>
      <w:r w:rsidR="00756A45" w:rsidRPr="00C90F08">
        <w:t>7</w:t>
      </w:r>
      <w:r w:rsidR="00C90F08" w:rsidRPr="00C90F08">
        <w:t>5</w:t>
      </w:r>
      <w:r w:rsidR="003437B6" w:rsidRPr="00C90F08">
        <w:t xml:space="preserve"> </w:t>
      </w:r>
      <w:r w:rsidR="007C0826" w:rsidRPr="00C90F08">
        <w:t>(</w:t>
      </w:r>
      <w:r w:rsidR="00756A45" w:rsidRPr="00C90F08">
        <w:t xml:space="preserve">setenta e </w:t>
      </w:r>
      <w:r w:rsidR="00C90F08" w:rsidRPr="00C90F08">
        <w:t>emendas</w:t>
      </w:r>
      <w:r w:rsidR="007C0826" w:rsidRPr="00C90F08">
        <w:t>)</w:t>
      </w:r>
      <w:r w:rsidR="00D346FE" w:rsidRPr="00C90F08">
        <w:t xml:space="preserve"> </w:t>
      </w:r>
      <w:r w:rsidR="005353C2" w:rsidRPr="00C90F08">
        <w:t>proposta</w:t>
      </w:r>
      <w:r w:rsidR="00F54D65" w:rsidRPr="00C90F08">
        <w:t>s</w:t>
      </w:r>
      <w:r w:rsidR="005353C2" w:rsidRPr="00C90F08">
        <w:t xml:space="preserve"> de emenda</w:t>
      </w:r>
      <w:r w:rsidR="00F54D65" w:rsidRPr="00C90F08">
        <w:t>s</w:t>
      </w:r>
      <w:r w:rsidR="00B524DC" w:rsidRPr="00C90F08">
        <w:t xml:space="preserve"> relacionadas no</w:t>
      </w:r>
      <w:r w:rsidR="00FC6946" w:rsidRPr="00C90F08">
        <w:t>s</w:t>
      </w:r>
      <w:r w:rsidR="00B524DC" w:rsidRPr="00C90F08">
        <w:t xml:space="preserve"> Anexo</w:t>
      </w:r>
      <w:r w:rsidR="00C90F08" w:rsidRPr="00C90F08">
        <w:t>s</w:t>
      </w:r>
      <w:r w:rsidR="00B524DC" w:rsidRPr="00C90F08">
        <w:t xml:space="preserve"> I</w:t>
      </w:r>
      <w:r w:rsidR="00C90F08" w:rsidRPr="00C90F08">
        <w:t>, II e III</w:t>
      </w:r>
      <w:r w:rsidR="00FC6946" w:rsidRPr="00C90F08">
        <w:t xml:space="preserve"> </w:t>
      </w:r>
      <w:r w:rsidR="00327C5F" w:rsidRPr="00C90F08">
        <w:t xml:space="preserve">deste </w:t>
      </w:r>
      <w:r w:rsidR="00B524DC" w:rsidRPr="00C90F08">
        <w:t>Parecer</w:t>
      </w:r>
      <w:r w:rsidR="007C0826" w:rsidRPr="00C90F08">
        <w:t>.</w:t>
      </w:r>
      <w:r w:rsidR="00DD672C" w:rsidRPr="00C90F08">
        <w:t xml:space="preserve"> </w:t>
      </w:r>
      <w:r w:rsidR="00C90F08" w:rsidRPr="00C90F08">
        <w:t>Todas</w:t>
      </w:r>
      <w:r w:rsidR="002B7559">
        <w:t xml:space="preserve"> AS</w:t>
      </w:r>
      <w:r w:rsidR="00C90F08" w:rsidRPr="00C90F08">
        <w:t xml:space="preserve"> propostas</w:t>
      </w:r>
      <w:r w:rsidR="00DD672C" w:rsidRPr="00C90F08">
        <w:t xml:space="preserve"> </w:t>
      </w:r>
      <w:r w:rsidR="006A757E" w:rsidRPr="00C90F08">
        <w:t>são de</w:t>
      </w:r>
      <w:r w:rsidR="003559D4" w:rsidRPr="00C90F08">
        <w:t xml:space="preserve"> apropriação</w:t>
      </w:r>
      <w:r w:rsidR="00C90F08" w:rsidRPr="00C90F08">
        <w:t xml:space="preserve"> de despesa e </w:t>
      </w:r>
      <w:r w:rsidR="0045678D" w:rsidRPr="00C90F08">
        <w:t xml:space="preserve">foram dirigidas </w:t>
      </w:r>
      <w:r w:rsidR="001B6D2E" w:rsidRPr="00C90F08">
        <w:t>a 22 ações programadas no âmbito do</w:t>
      </w:r>
      <w:r w:rsidR="0045678D" w:rsidRPr="00C90F08">
        <w:t xml:space="preserve"> Comando da Aeronáutica, Comando do Exército; Comando da Marinha;</w:t>
      </w:r>
      <w:r w:rsidR="00C90F08" w:rsidRPr="00C90F08">
        <w:t xml:space="preserve"> Ministério da Defesa;</w:t>
      </w:r>
      <w:r w:rsidR="0045678D" w:rsidRPr="00C90F08">
        <w:t xml:space="preserve"> Ministério das Relações Exteriores</w:t>
      </w:r>
      <w:r w:rsidR="00C90F08" w:rsidRPr="00C90F08">
        <w:t>; Ministério da Agricultura, Pecuária e Abastecimento;</w:t>
      </w:r>
      <w:r w:rsidR="00520E9E" w:rsidRPr="00C90F08">
        <w:t xml:space="preserve"> e Presidência da República.</w:t>
      </w:r>
    </w:p>
    <w:p w:rsidR="003A6653" w:rsidRDefault="00A91FE1">
      <w:pPr>
        <w:pStyle w:val="Recuodecorpodetexto"/>
      </w:pPr>
      <w:r w:rsidRPr="006B51FC">
        <w:t>É</w:t>
      </w:r>
      <w:r w:rsidR="008B6FA9" w:rsidRPr="006B51FC">
        <w:t xml:space="preserve"> o relatório</w:t>
      </w:r>
      <w:r w:rsidR="0056175C" w:rsidRPr="006B51FC">
        <w:t>.</w:t>
      </w:r>
    </w:p>
    <w:p w:rsidR="00006CD2" w:rsidRPr="006B51FC" w:rsidRDefault="00006CD2">
      <w:pPr>
        <w:pStyle w:val="Recuodecorpodetexto"/>
      </w:pPr>
    </w:p>
    <w:p w:rsidR="003A6653" w:rsidRDefault="003A6653" w:rsidP="003A6653">
      <w:pPr>
        <w:pStyle w:val="Ttulo1"/>
      </w:pPr>
      <w:r w:rsidRPr="006B51FC">
        <w:t>II – Análise</w:t>
      </w:r>
    </w:p>
    <w:p w:rsidR="00531524" w:rsidRDefault="00531524" w:rsidP="003A6653">
      <w:pPr>
        <w:pStyle w:val="Recuodecorpodetexto"/>
        <w:rPr>
          <w:color w:val="000000"/>
        </w:rPr>
      </w:pPr>
      <w:r>
        <w:rPr>
          <w:color w:val="000000"/>
        </w:rPr>
        <w:t xml:space="preserve">Inicialmente, </w:t>
      </w:r>
      <w:r w:rsidR="00DD672C">
        <w:rPr>
          <w:color w:val="000000"/>
        </w:rPr>
        <w:t>consignamos que existe uma significativa limitação para o atendimento das propostas d</w:t>
      </w:r>
      <w:r w:rsidR="00BF32D7">
        <w:rPr>
          <w:color w:val="000000"/>
        </w:rPr>
        <w:t>e emendas apresentadas pelos Ex</w:t>
      </w:r>
      <w:r w:rsidR="00DD672C">
        <w:rPr>
          <w:color w:val="000000"/>
        </w:rPr>
        <w:t>mos</w:t>
      </w:r>
      <w:r w:rsidR="00496935">
        <w:rPr>
          <w:color w:val="000000"/>
        </w:rPr>
        <w:t>.</w:t>
      </w:r>
      <w:r w:rsidR="00DD672C">
        <w:rPr>
          <w:color w:val="000000"/>
        </w:rPr>
        <w:t xml:space="preserve"> Senadores e Senadoras, haja vista que esta Comissão está sujeita ao limite de </w:t>
      </w:r>
      <w:r w:rsidR="00DD672C" w:rsidRPr="00DD672C">
        <w:rPr>
          <w:color w:val="000000"/>
        </w:rPr>
        <w:t xml:space="preserve">até </w:t>
      </w:r>
      <w:proofErr w:type="gramStart"/>
      <w:r w:rsidR="00342C9A">
        <w:rPr>
          <w:color w:val="000000"/>
        </w:rPr>
        <w:t>8</w:t>
      </w:r>
      <w:proofErr w:type="gramEnd"/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oito</w:t>
      </w:r>
      <w:r w:rsidR="00DD672C" w:rsidRPr="00DD672C">
        <w:rPr>
          <w:color w:val="000000"/>
        </w:rPr>
        <w:t xml:space="preserve">) emendas </w:t>
      </w:r>
      <w:r w:rsidR="006E75AF">
        <w:rPr>
          <w:color w:val="000000"/>
        </w:rPr>
        <w:t xml:space="preserve">de despesa </w:t>
      </w:r>
      <w:r w:rsidR="00DD672C" w:rsidRPr="00DD672C">
        <w:rPr>
          <w:color w:val="000000"/>
        </w:rPr>
        <w:t>ao PLOA 20</w:t>
      </w:r>
      <w:r w:rsidR="006104B3">
        <w:rPr>
          <w:color w:val="000000"/>
        </w:rPr>
        <w:t>22</w:t>
      </w:r>
      <w:r w:rsidR="00DD672C" w:rsidRPr="00DD672C">
        <w:rPr>
          <w:color w:val="000000"/>
        </w:rPr>
        <w:t xml:space="preserve">, sendo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 xml:space="preserve">) de apropriação e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>) de remanejamento</w:t>
      </w:r>
      <w:r w:rsidR="00DD672C">
        <w:rPr>
          <w:color w:val="000000"/>
        </w:rPr>
        <w:t>.</w:t>
      </w:r>
    </w:p>
    <w:p w:rsidR="00221769" w:rsidRDefault="00327C5F" w:rsidP="003A6653">
      <w:pPr>
        <w:pStyle w:val="Recuodecorpodetexto"/>
        <w:rPr>
          <w:color w:val="000000"/>
        </w:rPr>
      </w:pPr>
      <w:r>
        <w:rPr>
          <w:color w:val="000000"/>
        </w:rPr>
        <w:lastRenderedPageBreak/>
        <w:t>Cabe destacar que, em conformidade com o art.</w:t>
      </w:r>
      <w:r w:rsidR="00A809BB">
        <w:rPr>
          <w:color w:val="000000"/>
        </w:rPr>
        <w:t xml:space="preserve"> </w:t>
      </w:r>
      <w:r>
        <w:rPr>
          <w:color w:val="000000"/>
        </w:rPr>
        <w:t xml:space="preserve">43 da resolução 1/2006-CN, as emendas de comissões devem ser efetivadas no âmbito das competências regimentais de cada comissão. </w:t>
      </w:r>
      <w:proofErr w:type="gramStart"/>
      <w:r w:rsidR="00D52CD2">
        <w:rPr>
          <w:color w:val="000000"/>
        </w:rPr>
        <w:t>Todas</w:t>
      </w:r>
      <w:proofErr w:type="gramEnd"/>
      <w:r w:rsidR="00D52CD2">
        <w:rPr>
          <w:color w:val="000000"/>
        </w:rPr>
        <w:t xml:space="preserve"> propostas apresentadas </w:t>
      </w:r>
      <w:r w:rsidR="00BE37F5">
        <w:rPr>
          <w:color w:val="000000"/>
        </w:rPr>
        <w:t>são adstritas às</w:t>
      </w:r>
      <w:r w:rsidR="00246BF5">
        <w:rPr>
          <w:color w:val="000000"/>
        </w:rPr>
        <w:t xml:space="preserve"> </w:t>
      </w:r>
      <w:r>
        <w:rPr>
          <w:color w:val="000000"/>
        </w:rPr>
        <w:t>competência</w:t>
      </w:r>
      <w:r w:rsidR="00246BF5">
        <w:rPr>
          <w:color w:val="000000"/>
        </w:rPr>
        <w:t>s</w:t>
      </w:r>
      <w:r>
        <w:rPr>
          <w:color w:val="000000"/>
        </w:rPr>
        <w:t xml:space="preserve"> regimenta</w:t>
      </w:r>
      <w:r w:rsidR="00246BF5">
        <w:rPr>
          <w:color w:val="000000"/>
        </w:rPr>
        <w:t xml:space="preserve">is </w:t>
      </w:r>
      <w:r>
        <w:rPr>
          <w:color w:val="000000"/>
        </w:rPr>
        <w:t xml:space="preserve">da Comissão de </w:t>
      </w:r>
      <w:r w:rsidRPr="00327C5F">
        <w:rPr>
          <w:color w:val="000000"/>
        </w:rPr>
        <w:t>Relações Exteriores e Defesa Nacional</w:t>
      </w:r>
      <w:r w:rsidR="00246BF5">
        <w:rPr>
          <w:color w:val="000000"/>
        </w:rPr>
        <w:t>,</w:t>
      </w:r>
      <w:r>
        <w:rPr>
          <w:color w:val="000000"/>
        </w:rPr>
        <w:t xml:space="preserve"> prevista</w:t>
      </w:r>
      <w:r w:rsidR="00246BF5">
        <w:rPr>
          <w:color w:val="000000"/>
        </w:rPr>
        <w:t>s</w:t>
      </w:r>
      <w:r>
        <w:rPr>
          <w:color w:val="000000"/>
        </w:rPr>
        <w:t xml:space="preserve"> no art. 103 do Regimento Interno do Senado Federal. </w:t>
      </w:r>
      <w:r w:rsidR="00246BF5">
        <w:rPr>
          <w:color w:val="000000"/>
        </w:rPr>
        <w:t xml:space="preserve"> </w:t>
      </w:r>
    </w:p>
    <w:p w:rsidR="005F44A4" w:rsidRDefault="005F44A4" w:rsidP="003A6653">
      <w:pPr>
        <w:pStyle w:val="Recuodecorpodetexto"/>
        <w:rPr>
          <w:color w:val="000000"/>
        </w:rPr>
      </w:pPr>
    </w:p>
    <w:p w:rsidR="000C12BD" w:rsidRDefault="008F3839" w:rsidP="000C12BD">
      <w:pPr>
        <w:pStyle w:val="Ttulo1"/>
      </w:pPr>
      <w:r w:rsidRPr="006B51FC">
        <w:t>II</w:t>
      </w:r>
      <w:r w:rsidR="003A6653" w:rsidRPr="006B51FC">
        <w:t>I</w:t>
      </w:r>
      <w:r w:rsidRPr="006B51FC">
        <w:t xml:space="preserve"> –</w:t>
      </w:r>
      <w:r w:rsidR="00A91FE1" w:rsidRPr="006B51FC">
        <w:t xml:space="preserve"> </w:t>
      </w:r>
      <w:r w:rsidR="000C12BD" w:rsidRPr="006B51FC">
        <w:t>Voto</w:t>
      </w:r>
    </w:p>
    <w:p w:rsidR="006809B6" w:rsidRPr="006809B6" w:rsidRDefault="006809B6" w:rsidP="006809B6"/>
    <w:p w:rsidR="00F84FDF" w:rsidRPr="006A197C" w:rsidRDefault="00F84FDF" w:rsidP="00355F96">
      <w:pPr>
        <w:pStyle w:val="Recuodecorpodetexto"/>
      </w:pPr>
      <w:r>
        <w:rPr>
          <w:color w:val="000000"/>
        </w:rPr>
        <w:t xml:space="preserve">Tendo em vista </w:t>
      </w:r>
      <w:r w:rsidR="00EF28C3" w:rsidRPr="00006CD2">
        <w:rPr>
          <w:color w:val="000000"/>
        </w:rPr>
        <w:t xml:space="preserve">o exposto, </w:t>
      </w:r>
      <w:r>
        <w:rPr>
          <w:color w:val="000000"/>
        </w:rPr>
        <w:t xml:space="preserve">votamos </w:t>
      </w:r>
      <w:r w:rsidR="00A91FE1" w:rsidRPr="00006CD2">
        <w:rPr>
          <w:color w:val="000000"/>
        </w:rPr>
        <w:t>pel</w:t>
      </w:r>
      <w:r>
        <w:rPr>
          <w:color w:val="000000"/>
        </w:rPr>
        <w:t>a apresentação</w:t>
      </w:r>
      <w:r w:rsidR="005F44A4">
        <w:rPr>
          <w:color w:val="000000"/>
        </w:rPr>
        <w:t>, por</w:t>
      </w:r>
      <w:r>
        <w:rPr>
          <w:color w:val="000000"/>
        </w:rPr>
        <w:t xml:space="preserve"> </w:t>
      </w:r>
      <w:r w:rsidR="005F44A4">
        <w:rPr>
          <w:color w:val="000000"/>
        </w:rPr>
        <w:t xml:space="preserve">parte da Comissão </w:t>
      </w:r>
      <w:r w:rsidR="005F44A4" w:rsidRPr="00327C5F">
        <w:rPr>
          <w:color w:val="000000"/>
        </w:rPr>
        <w:t xml:space="preserve">Relações Exteriores e Defesa Nacional </w:t>
      </w:r>
      <w:r w:rsidR="005F44A4">
        <w:rPr>
          <w:color w:val="000000"/>
        </w:rPr>
        <w:t>–</w:t>
      </w:r>
      <w:r w:rsidR="005F44A4" w:rsidRPr="00327C5F">
        <w:rPr>
          <w:color w:val="000000"/>
        </w:rPr>
        <w:t xml:space="preserve"> CRE</w:t>
      </w:r>
      <w:r w:rsidR="005F44A4">
        <w:rPr>
          <w:color w:val="000000"/>
        </w:rPr>
        <w:t xml:space="preserve">, </w:t>
      </w:r>
      <w:r>
        <w:rPr>
          <w:color w:val="000000"/>
        </w:rPr>
        <w:t>de emendas ao PLOA 20</w:t>
      </w:r>
      <w:r w:rsidR="00D7541A">
        <w:rPr>
          <w:color w:val="000000"/>
        </w:rPr>
        <w:t>22</w:t>
      </w:r>
      <w:r>
        <w:rPr>
          <w:color w:val="000000"/>
        </w:rPr>
        <w:t xml:space="preserve"> nas seguintes ações</w:t>
      </w:r>
      <w:r w:rsidR="006809B6">
        <w:rPr>
          <w:color w:val="000000"/>
        </w:rPr>
        <w:t xml:space="preserve"> abaixo relacionadas</w:t>
      </w:r>
      <w:r w:rsidR="005F44A4">
        <w:rPr>
          <w:color w:val="000000"/>
        </w:rPr>
        <w:t xml:space="preserve">, detalhadas </w:t>
      </w:r>
      <w:r w:rsidR="006809B6">
        <w:rPr>
          <w:color w:val="000000"/>
        </w:rPr>
        <w:t>com as respectivas propostas de emendas</w:t>
      </w:r>
      <w:r>
        <w:rPr>
          <w:color w:val="000000"/>
        </w:rPr>
        <w:t>:</w:t>
      </w:r>
    </w:p>
    <w:p w:rsidR="00221769" w:rsidRPr="00DA5152" w:rsidRDefault="00251DC1" w:rsidP="00251DC1">
      <w:pPr>
        <w:pStyle w:val="Recuodecorpodetexto"/>
        <w:ind w:left="1276" w:firstLine="0"/>
        <w:rPr>
          <w:highlight w:val="yellow"/>
        </w:rPr>
      </w:pPr>
      <w:r w:rsidRPr="006A197C">
        <w:rPr>
          <w:highlight w:val="yellow"/>
        </w:rPr>
        <w:t xml:space="preserve">  </w:t>
      </w:r>
    </w:p>
    <w:p w:rsidR="00AA56A3" w:rsidRDefault="00251DC1" w:rsidP="00AA56A3">
      <w:pPr>
        <w:pStyle w:val="Recuodecorpodetexto"/>
        <w:numPr>
          <w:ilvl w:val="0"/>
          <w:numId w:val="25"/>
        </w:numPr>
        <w:ind w:left="1701"/>
      </w:pPr>
      <w:r w:rsidRPr="00DA5152">
        <w:t xml:space="preserve">U.O. </w:t>
      </w:r>
      <w:proofErr w:type="gramStart"/>
      <w:r w:rsidR="00012A14" w:rsidRPr="00DA5152">
        <w:t>52111</w:t>
      </w:r>
      <w:r w:rsidRPr="00DA5152">
        <w:t xml:space="preserve"> – </w:t>
      </w:r>
      <w:r w:rsidR="00012A14" w:rsidRPr="00DA5152">
        <w:t>Comando</w:t>
      </w:r>
      <w:proofErr w:type="gramEnd"/>
      <w:r w:rsidR="00012A14" w:rsidRPr="00DA5152">
        <w:t xml:space="preserve"> da Aeronáutica</w:t>
      </w:r>
      <w:r w:rsidRPr="00DA5152">
        <w:t>, Ação 1</w:t>
      </w:r>
      <w:r w:rsidR="00012A14" w:rsidRPr="00DA5152">
        <w:t>4T0</w:t>
      </w:r>
      <w:r w:rsidR="006A197C" w:rsidRPr="00DA5152">
        <w:t xml:space="preserve"> </w:t>
      </w:r>
      <w:r w:rsidRPr="00DA5152">
        <w:t xml:space="preserve">– </w:t>
      </w:r>
      <w:r w:rsidR="00012A14" w:rsidRPr="00DA5152">
        <w:t>Aquisição de Aeronaves de Caça e Sistemas Afins</w:t>
      </w:r>
      <w:r w:rsidRPr="00DA5152">
        <w:t>, valor R$ </w:t>
      </w:r>
      <w:r w:rsidR="00012A14" w:rsidRPr="00DA5152">
        <w:t>2.482.648.222</w:t>
      </w:r>
      <w:r w:rsidRPr="00DA5152">
        <w:t xml:space="preserve">,00. Propostas de emendas </w:t>
      </w:r>
      <w:proofErr w:type="spellStart"/>
      <w:r w:rsidRPr="00DA5152">
        <w:t>nº</w:t>
      </w:r>
      <w:r w:rsidRPr="00DA5152">
        <w:rPr>
          <w:vertAlign w:val="superscript"/>
        </w:rPr>
        <w:t>s</w:t>
      </w:r>
      <w:proofErr w:type="spellEnd"/>
      <w:r w:rsidRPr="00DA5152">
        <w:t xml:space="preserve"> </w:t>
      </w:r>
      <w:r w:rsidR="00A76928" w:rsidRPr="00DA5152">
        <w:t xml:space="preserve">2, 23, 26, 28, 32, 35, 37, 40, 46, 53, 61, 65, 69 e 74, dos </w:t>
      </w:r>
      <w:proofErr w:type="gramStart"/>
      <w:r w:rsidR="00A76928" w:rsidRPr="00DA5152">
        <w:t>Senadores(</w:t>
      </w:r>
      <w:proofErr w:type="gramEnd"/>
      <w:r w:rsidR="00A76928" w:rsidRPr="00DA5152">
        <w:t xml:space="preserve">as) Kátia Abreu, Nelsinho </w:t>
      </w:r>
      <w:proofErr w:type="spellStart"/>
      <w:r w:rsidR="00A76928" w:rsidRPr="00DA5152">
        <w:t>Trad</w:t>
      </w:r>
      <w:proofErr w:type="spellEnd"/>
      <w:r w:rsidR="00A76928" w:rsidRPr="00DA5152">
        <w:t xml:space="preserve">, Zequinha Marinho, Jaques Wagner, Plínio Valério, Flávio Bolsonaro, Soraya </w:t>
      </w:r>
      <w:proofErr w:type="spellStart"/>
      <w:r w:rsidR="00A76928" w:rsidRPr="00DA5152">
        <w:t>Thronicke</w:t>
      </w:r>
      <w:proofErr w:type="spellEnd"/>
      <w:r w:rsidR="00A76928" w:rsidRPr="00DA5152">
        <w:t xml:space="preserve">, Márcio Bittar, Fernando Bezerra Coelho, Veneziano Vital do Rêgo, Nilda Gondim, Esperidião Amin, Humberto Costa e Marcos do Val. </w:t>
      </w:r>
      <w:r w:rsidRPr="00DA5152">
        <w:t xml:space="preserve">Emenda de acréscimo à despesa no </w:t>
      </w:r>
      <w:proofErr w:type="gramStart"/>
      <w:r w:rsidRPr="00DA5152">
        <w:t xml:space="preserve">sequencial </w:t>
      </w:r>
      <w:r w:rsidR="006A5C98" w:rsidRPr="00DA5152">
        <w:t>00</w:t>
      </w:r>
      <w:r w:rsidR="00920599">
        <w:t>2335</w:t>
      </w:r>
      <w:proofErr w:type="gramEnd"/>
      <w:r w:rsidR="006A5C98" w:rsidRPr="00DA5152">
        <w:t>;</w:t>
      </w:r>
    </w:p>
    <w:p w:rsidR="00656DBB" w:rsidRDefault="00656DBB" w:rsidP="00656DBB">
      <w:pPr>
        <w:pStyle w:val="Recuodecorpodetexto"/>
        <w:ind w:left="1341" w:firstLine="0"/>
      </w:pPr>
      <w:r>
        <w:t>Detalhamento d</w:t>
      </w:r>
      <w:r w:rsidR="00E57749">
        <w:t>o acréscimo da</w:t>
      </w:r>
      <w:r>
        <w:t xml:space="preserve"> despesa</w:t>
      </w:r>
    </w:p>
    <w:tbl>
      <w:tblPr>
        <w:tblW w:w="6760" w:type="dxa"/>
        <w:tblInd w:w="2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960"/>
        <w:gridCol w:w="660"/>
        <w:gridCol w:w="620"/>
        <w:gridCol w:w="600"/>
        <w:gridCol w:w="1360"/>
        <w:gridCol w:w="1280"/>
      </w:tblGrid>
      <w:tr w:rsidR="00656DBB" w:rsidTr="00656DBB">
        <w:trPr>
          <w:trHeight w:val="315"/>
        </w:trPr>
        <w:tc>
          <w:tcPr>
            <w:tcW w:w="12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Sequencial</w:t>
            </w:r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Ação</w:t>
            </w:r>
          </w:p>
        </w:tc>
        <w:tc>
          <w:tcPr>
            <w:tcW w:w="6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GND</w:t>
            </w:r>
          </w:p>
        </w:tc>
        <w:tc>
          <w:tcPr>
            <w:tcW w:w="6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RP</w:t>
            </w:r>
          </w:p>
        </w:tc>
        <w:tc>
          <w:tcPr>
            <w:tcW w:w="6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</w:t>
            </w:r>
          </w:p>
        </w:tc>
        <w:tc>
          <w:tcPr>
            <w:tcW w:w="13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R$</w:t>
            </w:r>
          </w:p>
        </w:tc>
        <w:tc>
          <w:tcPr>
            <w:tcW w:w="12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Meta a alterar</w:t>
            </w:r>
          </w:p>
        </w:tc>
      </w:tr>
      <w:tr w:rsidR="00656DBB" w:rsidTr="00656DBB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002335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14T0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5B3FE6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2.482.648.222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bottom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proofErr w:type="gramEnd"/>
          </w:p>
        </w:tc>
      </w:tr>
    </w:tbl>
    <w:p w:rsidR="00656DBB" w:rsidRPr="00DA5152" w:rsidRDefault="00656DBB" w:rsidP="00656DBB">
      <w:pPr>
        <w:pStyle w:val="Recuodecorpodetexto"/>
        <w:ind w:left="1341" w:firstLine="0"/>
      </w:pPr>
    </w:p>
    <w:p w:rsidR="00DA5152" w:rsidRDefault="00242396" w:rsidP="00DA5152">
      <w:pPr>
        <w:pStyle w:val="Recuodecorpodetexto"/>
        <w:numPr>
          <w:ilvl w:val="0"/>
          <w:numId w:val="25"/>
        </w:numPr>
        <w:ind w:left="1701"/>
      </w:pPr>
      <w:r w:rsidRPr="00DA5152">
        <w:t xml:space="preserve">U.O. </w:t>
      </w:r>
      <w:proofErr w:type="gramStart"/>
      <w:r w:rsidRPr="00DA5152">
        <w:t>52.12</w:t>
      </w:r>
      <w:r w:rsidR="00221769" w:rsidRPr="00DA5152">
        <w:t xml:space="preserve">1 – </w:t>
      </w:r>
      <w:r w:rsidR="006A5C98" w:rsidRPr="00DA5152">
        <w:t>Comando</w:t>
      </w:r>
      <w:proofErr w:type="gramEnd"/>
      <w:r w:rsidR="006A5C98" w:rsidRPr="00DA5152">
        <w:t xml:space="preserve"> do Exército, Ação 14</w:t>
      </w:r>
      <w:r w:rsidR="006D7A01" w:rsidRPr="00DA5152">
        <w:t>T4</w:t>
      </w:r>
      <w:r w:rsidR="006A5C98" w:rsidRPr="00DA5152">
        <w:t xml:space="preserve"> - Implantação </w:t>
      </w:r>
      <w:r w:rsidR="006D7A01" w:rsidRPr="00DA5152">
        <w:t>do Projeto Forças Blindadas</w:t>
      </w:r>
      <w:r w:rsidR="001758A9" w:rsidRPr="00DA5152">
        <w:t xml:space="preserve">, </w:t>
      </w:r>
      <w:r w:rsidR="006A5C98" w:rsidRPr="00DA5152">
        <w:t xml:space="preserve">valor R$ </w:t>
      </w:r>
      <w:r w:rsidR="002667A7" w:rsidRPr="00DA5152">
        <w:t>2</w:t>
      </w:r>
      <w:r w:rsidR="00DA5152" w:rsidRPr="00DA5152">
        <w:t>3</w:t>
      </w:r>
      <w:r w:rsidR="006A5C98" w:rsidRPr="00DA5152">
        <w:t xml:space="preserve">0.000.000,00. Propostas de emenda </w:t>
      </w:r>
      <w:proofErr w:type="spellStart"/>
      <w:r w:rsidR="001758A9" w:rsidRPr="00DA5152">
        <w:t>nº</w:t>
      </w:r>
      <w:r w:rsidR="001758A9" w:rsidRPr="00DA5152">
        <w:rPr>
          <w:vertAlign w:val="superscript"/>
        </w:rPr>
        <w:t>s</w:t>
      </w:r>
      <w:proofErr w:type="spellEnd"/>
      <w:r w:rsidR="006A5C98" w:rsidRPr="00DA5152">
        <w:t xml:space="preserve"> </w:t>
      </w:r>
      <w:r w:rsidR="00DA5152" w:rsidRPr="00DA5152">
        <w:t>1</w:t>
      </w:r>
      <w:r w:rsidR="001758A9" w:rsidRPr="00DA5152">
        <w:t>,</w:t>
      </w:r>
      <w:r w:rsidR="00DA5152" w:rsidRPr="00DA5152">
        <w:t xml:space="preserve"> 5, 21, 25, 30, 33, 34, 38, 41, 49, 56, 62, 67 e 75,</w:t>
      </w:r>
      <w:r w:rsidR="006A5C98" w:rsidRPr="00DA5152">
        <w:t xml:space="preserve"> dos </w:t>
      </w:r>
      <w:proofErr w:type="gramStart"/>
      <w:r w:rsidR="006A5C98" w:rsidRPr="00DA5152">
        <w:t>Senadores</w:t>
      </w:r>
      <w:r w:rsidR="00A76928" w:rsidRPr="00DA5152">
        <w:t>(</w:t>
      </w:r>
      <w:proofErr w:type="gramEnd"/>
      <w:r w:rsidR="00A76928" w:rsidRPr="00DA5152">
        <w:t>as)</w:t>
      </w:r>
      <w:r w:rsidR="006A5C98" w:rsidRPr="00DA5152">
        <w:t xml:space="preserve"> </w:t>
      </w:r>
      <w:r w:rsidR="00DA5152" w:rsidRPr="00DA5152">
        <w:t xml:space="preserve">Daniella Ribeiro, Kátia Abreu, Nelsinho </w:t>
      </w:r>
      <w:proofErr w:type="spellStart"/>
      <w:r w:rsidR="00DA5152" w:rsidRPr="00DA5152">
        <w:t>Trad</w:t>
      </w:r>
      <w:proofErr w:type="spellEnd"/>
      <w:r w:rsidR="00DA5152" w:rsidRPr="00DA5152">
        <w:t xml:space="preserve">, Zequinha Marinho, Jaques Wagner, Plínio Valério, Flávio Bolsonaro, Soraya </w:t>
      </w:r>
      <w:proofErr w:type="spellStart"/>
      <w:r w:rsidR="00DA5152" w:rsidRPr="00DA5152">
        <w:t>Thronicke</w:t>
      </w:r>
      <w:proofErr w:type="spellEnd"/>
      <w:r w:rsidR="00DA5152" w:rsidRPr="00DA5152">
        <w:t xml:space="preserve">, Márcio Bittar, Fernando Bezerra Coelho, Veneziano Vital do Rêgo, Nilda Gondim, Esperidião Amin e Marcos do Val. Emenda de acréscimo à despesa no </w:t>
      </w:r>
      <w:proofErr w:type="gramStart"/>
      <w:r w:rsidR="00DA5152" w:rsidRPr="00DA5152">
        <w:t>sequencial 002375</w:t>
      </w:r>
      <w:proofErr w:type="gramEnd"/>
      <w:r w:rsidR="00DA5152" w:rsidRPr="00DA5152">
        <w:t>;</w:t>
      </w:r>
    </w:p>
    <w:p w:rsidR="00656DBB" w:rsidRDefault="00656DBB" w:rsidP="00656DBB">
      <w:pPr>
        <w:pStyle w:val="Recuodecorpodetexto"/>
        <w:ind w:left="1341" w:firstLine="0"/>
      </w:pPr>
      <w:r>
        <w:t xml:space="preserve">Detalhamento </w:t>
      </w:r>
      <w:r w:rsidR="00E57749">
        <w:t>do acréscimo da despesa</w:t>
      </w:r>
    </w:p>
    <w:tbl>
      <w:tblPr>
        <w:tblW w:w="6760" w:type="dxa"/>
        <w:tblInd w:w="2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960"/>
        <w:gridCol w:w="660"/>
        <w:gridCol w:w="620"/>
        <w:gridCol w:w="600"/>
        <w:gridCol w:w="1360"/>
        <w:gridCol w:w="1280"/>
      </w:tblGrid>
      <w:tr w:rsidR="00656DBB" w:rsidTr="00656DBB">
        <w:trPr>
          <w:trHeight w:val="315"/>
        </w:trPr>
        <w:tc>
          <w:tcPr>
            <w:tcW w:w="12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Sequencial</w:t>
            </w:r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Ação</w:t>
            </w:r>
          </w:p>
        </w:tc>
        <w:tc>
          <w:tcPr>
            <w:tcW w:w="6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GND</w:t>
            </w:r>
          </w:p>
        </w:tc>
        <w:tc>
          <w:tcPr>
            <w:tcW w:w="6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RP</w:t>
            </w:r>
          </w:p>
        </w:tc>
        <w:tc>
          <w:tcPr>
            <w:tcW w:w="6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</w:t>
            </w:r>
          </w:p>
        </w:tc>
        <w:tc>
          <w:tcPr>
            <w:tcW w:w="13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R$</w:t>
            </w:r>
          </w:p>
        </w:tc>
        <w:tc>
          <w:tcPr>
            <w:tcW w:w="12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Meta a alterar</w:t>
            </w:r>
          </w:p>
        </w:tc>
      </w:tr>
      <w:tr w:rsidR="00656DBB" w:rsidTr="00656DBB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002375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14T4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5B3FE6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230.000.000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455BC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30</w:t>
            </w:r>
          </w:p>
        </w:tc>
      </w:tr>
    </w:tbl>
    <w:p w:rsidR="00656DBB" w:rsidRPr="00DA5152" w:rsidRDefault="00656DBB" w:rsidP="00656DBB">
      <w:pPr>
        <w:pStyle w:val="Recuodecorpodetexto"/>
        <w:ind w:left="1341" w:firstLine="0"/>
      </w:pPr>
    </w:p>
    <w:p w:rsidR="003A0C17" w:rsidRDefault="003A0C17" w:rsidP="00B52D65">
      <w:pPr>
        <w:pStyle w:val="Recuodecorpodetexto"/>
        <w:numPr>
          <w:ilvl w:val="0"/>
          <w:numId w:val="25"/>
        </w:numPr>
        <w:ind w:left="1701"/>
      </w:pPr>
      <w:r w:rsidRPr="00DA5152">
        <w:t xml:space="preserve">U.O. </w:t>
      </w:r>
      <w:proofErr w:type="gramStart"/>
      <w:r w:rsidR="00B52D65">
        <w:t>35</w:t>
      </w:r>
      <w:r w:rsidRPr="00DA5152">
        <w:t xml:space="preserve">.101 – </w:t>
      </w:r>
      <w:r w:rsidR="00B52D65">
        <w:t>Ministério</w:t>
      </w:r>
      <w:proofErr w:type="gramEnd"/>
      <w:r w:rsidR="00B52D65">
        <w:t xml:space="preserve"> das Relações Exteriores – Administração Direta</w:t>
      </w:r>
      <w:r w:rsidRPr="00DA5152">
        <w:t xml:space="preserve">, Ação </w:t>
      </w:r>
      <w:r w:rsidR="00B52D65">
        <w:t>20WZ</w:t>
      </w:r>
      <w:r w:rsidRPr="00DA5152">
        <w:t xml:space="preserve"> – </w:t>
      </w:r>
      <w:r w:rsidR="00B52D65">
        <w:t>Promoção Comercial e de Investimentos - Exterior</w:t>
      </w:r>
      <w:r w:rsidRPr="00DA5152">
        <w:t>, valor R$ </w:t>
      </w:r>
      <w:r w:rsidR="00B52D65">
        <w:t>2</w:t>
      </w:r>
      <w:r w:rsidRPr="00DA5152">
        <w:t>0.000.000,00. Propost</w:t>
      </w:r>
      <w:r w:rsidR="00B52D65">
        <w:t>a de emenda</w:t>
      </w:r>
      <w:r w:rsidRPr="00DA5152">
        <w:t xml:space="preserve"> nº</w:t>
      </w:r>
      <w:r w:rsidRPr="00B52D65">
        <w:rPr>
          <w:vertAlign w:val="superscript"/>
        </w:rPr>
        <w:t xml:space="preserve"> </w:t>
      </w:r>
      <w:r w:rsidR="00B52D65">
        <w:t>39</w:t>
      </w:r>
      <w:r w:rsidRPr="00DA5152">
        <w:t>, d</w:t>
      </w:r>
      <w:r w:rsidR="00B52D65">
        <w:t>a</w:t>
      </w:r>
      <w:r w:rsidRPr="00DA5152">
        <w:t xml:space="preserve"> Senador</w:t>
      </w:r>
      <w:r w:rsidR="00B52D65">
        <w:t>a</w:t>
      </w:r>
      <w:r w:rsidRPr="00DA5152">
        <w:t xml:space="preserve"> </w:t>
      </w:r>
      <w:r w:rsidR="00B52D65">
        <w:t>Kátia Abreu</w:t>
      </w:r>
      <w:r w:rsidRPr="00DA5152">
        <w:t xml:space="preserve">. Emenda de acréscimo à despesa no </w:t>
      </w:r>
      <w:proofErr w:type="gramStart"/>
      <w:r w:rsidRPr="00DA5152">
        <w:t>sequencial 00</w:t>
      </w:r>
      <w:r w:rsidR="00455BC5">
        <w:t>1437</w:t>
      </w:r>
      <w:proofErr w:type="gramEnd"/>
      <w:r w:rsidRPr="00DA5152">
        <w:t>;</w:t>
      </w:r>
    </w:p>
    <w:p w:rsidR="00656DBB" w:rsidRDefault="00656DBB" w:rsidP="00656DBB">
      <w:pPr>
        <w:pStyle w:val="Recuodecorpodetexto"/>
        <w:ind w:left="1341" w:firstLine="0"/>
      </w:pPr>
      <w:r>
        <w:t xml:space="preserve">Detalhamento </w:t>
      </w:r>
      <w:r w:rsidR="00E57749">
        <w:t>do acréscimo da despesa</w:t>
      </w:r>
    </w:p>
    <w:tbl>
      <w:tblPr>
        <w:tblW w:w="6760" w:type="dxa"/>
        <w:tblInd w:w="2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960"/>
        <w:gridCol w:w="660"/>
        <w:gridCol w:w="620"/>
        <w:gridCol w:w="600"/>
        <w:gridCol w:w="1360"/>
        <w:gridCol w:w="1280"/>
      </w:tblGrid>
      <w:tr w:rsidR="00656DBB" w:rsidTr="00656DBB">
        <w:trPr>
          <w:trHeight w:val="315"/>
        </w:trPr>
        <w:tc>
          <w:tcPr>
            <w:tcW w:w="12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Sequencial</w:t>
            </w:r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Ação</w:t>
            </w:r>
          </w:p>
        </w:tc>
        <w:tc>
          <w:tcPr>
            <w:tcW w:w="6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GND</w:t>
            </w:r>
          </w:p>
        </w:tc>
        <w:tc>
          <w:tcPr>
            <w:tcW w:w="6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RP</w:t>
            </w:r>
          </w:p>
        </w:tc>
        <w:tc>
          <w:tcPr>
            <w:tcW w:w="6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</w:t>
            </w:r>
          </w:p>
        </w:tc>
        <w:tc>
          <w:tcPr>
            <w:tcW w:w="13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R$</w:t>
            </w:r>
          </w:p>
        </w:tc>
        <w:tc>
          <w:tcPr>
            <w:tcW w:w="12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Meta a alterar</w:t>
            </w:r>
          </w:p>
        </w:tc>
      </w:tr>
      <w:tr w:rsidR="00656DBB" w:rsidTr="00656DBB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455BC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  <w:r w:rsidR="00455BC5">
              <w:rPr>
                <w:rFonts w:ascii="Arial" w:hAnsi="Arial" w:cs="Arial"/>
                <w:color w:val="333333"/>
                <w:sz w:val="18"/>
                <w:szCs w:val="18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455BC5" w:rsidP="00455BC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20WZ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455BC5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  <w:r w:rsidR="00656DBB">
              <w:rPr>
                <w:rFonts w:ascii="Arial" w:hAnsi="Arial" w:cs="Arial"/>
                <w:color w:val="333333"/>
                <w:sz w:val="18"/>
                <w:szCs w:val="18"/>
              </w:rPr>
              <w:t>0.000.000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455BC5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140</w:t>
            </w:r>
          </w:p>
        </w:tc>
      </w:tr>
    </w:tbl>
    <w:p w:rsidR="00656DBB" w:rsidRPr="00DA5152" w:rsidRDefault="00656DBB" w:rsidP="00656DBB">
      <w:pPr>
        <w:pStyle w:val="Recuodecorpodetexto"/>
        <w:ind w:left="1341" w:firstLine="0"/>
      </w:pPr>
    </w:p>
    <w:p w:rsidR="003A0C17" w:rsidRPr="00012A14" w:rsidRDefault="003A0C17" w:rsidP="00012A14">
      <w:pPr>
        <w:numPr>
          <w:ilvl w:val="0"/>
          <w:numId w:val="25"/>
        </w:numPr>
        <w:spacing w:before="240"/>
        <w:ind w:left="1701" w:hanging="357"/>
        <w:jc w:val="both"/>
      </w:pPr>
      <w:r w:rsidRPr="00DA5152">
        <w:t xml:space="preserve">U.O. </w:t>
      </w:r>
      <w:proofErr w:type="gramStart"/>
      <w:r w:rsidRPr="00DA5152">
        <w:t>52.13</w:t>
      </w:r>
      <w:r w:rsidR="001A5D69">
        <w:t>1</w:t>
      </w:r>
      <w:r w:rsidRPr="00DA5152">
        <w:t xml:space="preserve"> – </w:t>
      </w:r>
      <w:r w:rsidR="001A5D69">
        <w:t>Comando</w:t>
      </w:r>
      <w:proofErr w:type="gramEnd"/>
      <w:r w:rsidR="001A5D69">
        <w:t xml:space="preserve"> da Marinha</w:t>
      </w:r>
      <w:r w:rsidRPr="00DA5152">
        <w:t xml:space="preserve">, Ação </w:t>
      </w:r>
      <w:r w:rsidR="001A5D69">
        <w:t>14T7</w:t>
      </w:r>
      <w:r w:rsidRPr="00DA5152">
        <w:t xml:space="preserve"> – </w:t>
      </w:r>
      <w:r w:rsidR="00657B34">
        <w:t xml:space="preserve">Desenvolvimento de Sistemas de </w:t>
      </w:r>
      <w:r w:rsidR="001A5D69">
        <w:t>Tecnologia Nuclear da Marinha</w:t>
      </w:r>
      <w:r w:rsidRPr="00DA5152">
        <w:t>, valor R$ </w:t>
      </w:r>
      <w:r w:rsidR="001A5D69">
        <w:t>9</w:t>
      </w:r>
      <w:r w:rsidRPr="00DA5152">
        <w:t>00.000.000,00. Propostas de emenda n</w:t>
      </w:r>
      <w:r w:rsidRPr="00DA5152">
        <w:rPr>
          <w:vertAlign w:val="superscript"/>
        </w:rPr>
        <w:t>os</w:t>
      </w:r>
      <w:r w:rsidRPr="00DA5152">
        <w:t xml:space="preserve"> </w:t>
      </w:r>
      <w:r w:rsidR="00012A14" w:rsidRPr="00DA5152">
        <w:t xml:space="preserve">22, </w:t>
      </w:r>
      <w:r w:rsidRPr="00DA5152">
        <w:t>2</w:t>
      </w:r>
      <w:r w:rsidR="00012A14" w:rsidRPr="00DA5152">
        <w:t>4</w:t>
      </w:r>
      <w:r w:rsidRPr="00DA5152">
        <w:t xml:space="preserve">, </w:t>
      </w:r>
      <w:r w:rsidR="00012A14" w:rsidRPr="00DA5152">
        <w:t>29, 31,</w:t>
      </w:r>
      <w:r w:rsidRPr="00DA5152">
        <w:t xml:space="preserve"> </w:t>
      </w:r>
      <w:r w:rsidR="00012A14" w:rsidRPr="00DA5152">
        <w:t xml:space="preserve">36, 43, 55, 59, 64, 72 e 73 </w:t>
      </w:r>
      <w:r w:rsidRPr="00DA5152">
        <w:t xml:space="preserve">dos </w:t>
      </w:r>
      <w:proofErr w:type="gramStart"/>
      <w:r w:rsidRPr="00DA5152">
        <w:t>Senadores</w:t>
      </w:r>
      <w:r w:rsidR="007F0784">
        <w:t>(</w:t>
      </w:r>
      <w:proofErr w:type="gramEnd"/>
      <w:r w:rsidR="007F0784">
        <w:t>as)</w:t>
      </w:r>
      <w:r w:rsidRPr="00DA5152">
        <w:t xml:space="preserve"> </w:t>
      </w:r>
      <w:r w:rsidR="00012A14" w:rsidRPr="00DA5152">
        <w:t xml:space="preserve">Nelsinho </w:t>
      </w:r>
      <w:proofErr w:type="spellStart"/>
      <w:r w:rsidR="00012A14" w:rsidRPr="00DA5152">
        <w:t>Trad</w:t>
      </w:r>
      <w:proofErr w:type="spellEnd"/>
      <w:r w:rsidR="00012A14" w:rsidRPr="00DA5152">
        <w:t>, Zequinha Marinho, Jaques Wagner, Plínio Valério, Flávio Bolsonaro, Márcio Bittar, Veneziano Vital do Rêgo, Nilda Gondim, Esperidião Amin, Humberto</w:t>
      </w:r>
      <w:r w:rsidR="00012A14" w:rsidRPr="00012A14">
        <w:t xml:space="preserve"> Costa e Marcos do Val. </w:t>
      </w:r>
      <w:r w:rsidRPr="00012A14">
        <w:t>Emenda de acréscim</w:t>
      </w:r>
      <w:r w:rsidR="001A5D69">
        <w:t xml:space="preserve">o à despesa no </w:t>
      </w:r>
      <w:proofErr w:type="gramStart"/>
      <w:r w:rsidR="001A5D69">
        <w:t>sequencial 002408</w:t>
      </w:r>
      <w:proofErr w:type="gramEnd"/>
      <w:r w:rsidR="001A5D69">
        <w:t>. Essa emenda foi alterada a pedido da Marinha</w:t>
      </w:r>
      <w:r w:rsidRPr="00012A14">
        <w:t>;</w:t>
      </w:r>
    </w:p>
    <w:p w:rsidR="00221769" w:rsidRDefault="00221769" w:rsidP="00242396">
      <w:pPr>
        <w:pStyle w:val="Recuodecorpodetexto"/>
        <w:ind w:left="1341" w:firstLine="0"/>
        <w:rPr>
          <w:highlight w:val="yellow"/>
        </w:rPr>
      </w:pPr>
    </w:p>
    <w:p w:rsidR="00656DBB" w:rsidRDefault="00656DBB" w:rsidP="00656DBB">
      <w:pPr>
        <w:pStyle w:val="Recuodecorpodetexto"/>
        <w:ind w:left="1341" w:firstLine="0"/>
      </w:pPr>
      <w:r>
        <w:t xml:space="preserve">Detalhamento </w:t>
      </w:r>
      <w:r w:rsidR="00E57749">
        <w:t>do acréscimo da despesa</w:t>
      </w:r>
    </w:p>
    <w:tbl>
      <w:tblPr>
        <w:tblW w:w="6760" w:type="dxa"/>
        <w:tblInd w:w="2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960"/>
        <w:gridCol w:w="660"/>
        <w:gridCol w:w="620"/>
        <w:gridCol w:w="600"/>
        <w:gridCol w:w="1360"/>
        <w:gridCol w:w="1280"/>
      </w:tblGrid>
      <w:tr w:rsidR="00656DBB" w:rsidTr="00656DBB">
        <w:trPr>
          <w:trHeight w:val="315"/>
        </w:trPr>
        <w:tc>
          <w:tcPr>
            <w:tcW w:w="128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Sequencial</w:t>
            </w:r>
          </w:p>
        </w:tc>
        <w:tc>
          <w:tcPr>
            <w:tcW w:w="9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Ação</w:t>
            </w:r>
          </w:p>
        </w:tc>
        <w:tc>
          <w:tcPr>
            <w:tcW w:w="6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GND</w:t>
            </w:r>
          </w:p>
        </w:tc>
        <w:tc>
          <w:tcPr>
            <w:tcW w:w="6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RP</w:t>
            </w:r>
          </w:p>
        </w:tc>
        <w:tc>
          <w:tcPr>
            <w:tcW w:w="60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MA</w:t>
            </w:r>
          </w:p>
        </w:tc>
        <w:tc>
          <w:tcPr>
            <w:tcW w:w="13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R$</w:t>
            </w:r>
          </w:p>
        </w:tc>
        <w:tc>
          <w:tcPr>
            <w:tcW w:w="128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7F7F7"/>
            <w:vAlign w:val="center"/>
            <w:hideMark/>
          </w:tcPr>
          <w:p w:rsidR="00656DBB" w:rsidRDefault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Meta a alterar</w:t>
            </w:r>
          </w:p>
        </w:tc>
      </w:tr>
      <w:tr w:rsidR="00656DBB" w:rsidTr="00656DBB">
        <w:trPr>
          <w:trHeight w:val="315"/>
        </w:trPr>
        <w:tc>
          <w:tcPr>
            <w:tcW w:w="128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  <w:r w:rsidR="00657B34">
              <w:rPr>
                <w:rFonts w:ascii="Arial" w:hAnsi="Arial" w:cs="Arial"/>
                <w:color w:val="333333"/>
                <w:sz w:val="18"/>
                <w:szCs w:val="18"/>
              </w:rPr>
              <w:t>2408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7B34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14T7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5B3FE6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8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6DBB" w:rsidP="00656DBB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7B34">
            <w:pPr>
              <w:jc w:val="righ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9</w:t>
            </w:r>
            <w:r w:rsidR="00656DBB">
              <w:rPr>
                <w:rFonts w:ascii="Arial" w:hAnsi="Arial" w:cs="Arial"/>
                <w:color w:val="333333"/>
                <w:sz w:val="18"/>
                <w:szCs w:val="18"/>
              </w:rPr>
              <w:t>00.000.000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vAlign w:val="center"/>
            <w:hideMark/>
          </w:tcPr>
          <w:p w:rsidR="00656DBB" w:rsidRDefault="00657B34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  <w:proofErr w:type="gramEnd"/>
          </w:p>
        </w:tc>
      </w:tr>
    </w:tbl>
    <w:p w:rsidR="00656DBB" w:rsidRPr="004A6203" w:rsidRDefault="00656DBB" w:rsidP="00242396">
      <w:pPr>
        <w:pStyle w:val="Recuodecorpodetexto"/>
        <w:ind w:left="1341" w:firstLine="0"/>
        <w:rPr>
          <w:highlight w:val="yellow"/>
        </w:rPr>
      </w:pPr>
    </w:p>
    <w:p w:rsidR="001A5D69" w:rsidRDefault="001A5D69" w:rsidP="00ED280D">
      <w:pPr>
        <w:pStyle w:val="Recuodecorpodetexto"/>
      </w:pPr>
      <w:r>
        <w:t>Gostaria de consignar</w:t>
      </w:r>
      <w:r w:rsidR="00657B34">
        <w:t xml:space="preserve"> a solicitação para abrir o debate em torno do aumento do número de emendas </w:t>
      </w:r>
      <w:r w:rsidR="002D6DD8">
        <w:t xml:space="preserve">de autoria </w:t>
      </w:r>
      <w:r w:rsidR="00D058DB">
        <w:t xml:space="preserve">da </w:t>
      </w:r>
      <w:r w:rsidR="002D6DD8">
        <w:t>Comissão de Relações Exteriores e Defesa Nacional</w:t>
      </w:r>
      <w:r w:rsidR="002D6DD8">
        <w:t xml:space="preserve"> </w:t>
      </w:r>
      <w:r w:rsidR="00657B34">
        <w:t xml:space="preserve">aos orçamentos anuais. </w:t>
      </w:r>
      <w:r w:rsidR="002D6DD8">
        <w:t>É preciso fortalecer o papel das comissões nas intervenções relacionadas ao Orçamento Federal. O oferecimento de emendas</w:t>
      </w:r>
      <w:r w:rsidR="00657B34">
        <w:t xml:space="preserve"> </w:t>
      </w:r>
      <w:r w:rsidR="002D6DD8">
        <w:t xml:space="preserve">aos projetos da Marinha, Exército, Aeronáutica e Ministério das Relações Exteriores já é uma tradição da CRE. No entanto, </w:t>
      </w:r>
      <w:r w:rsidR="0086651D">
        <w:t xml:space="preserve">a </w:t>
      </w:r>
      <w:r w:rsidR="002D6DD8">
        <w:t>extensão das atividades exercidas por esses órgãos implica, muitas vezes, na omissão, por parte da Comissão</w:t>
      </w:r>
      <w:r w:rsidR="0086651D">
        <w:t>,</w:t>
      </w:r>
      <w:r w:rsidR="002D6DD8">
        <w:t xml:space="preserve"> </w:t>
      </w:r>
      <w:r w:rsidR="0086651D">
        <w:t>de</w:t>
      </w:r>
      <w:r w:rsidR="002D6DD8">
        <w:t xml:space="preserve"> atender ações imprescindíveis em virtude dessa limitação do número de emendas. </w:t>
      </w:r>
      <w:r w:rsidR="000A2EBB">
        <w:t>P</w:t>
      </w:r>
      <w:r w:rsidR="0086651D">
        <w:t>or exemplo</w:t>
      </w:r>
      <w:r w:rsidR="000A2EBB">
        <w:t xml:space="preserve">, é uma falta gravíssima </w:t>
      </w:r>
      <w:r w:rsidR="0086651D">
        <w:t>d</w:t>
      </w:r>
      <w:r w:rsidR="000A2EBB">
        <w:t>a CRE não oferecer uma emenda orçamentária</w:t>
      </w:r>
      <w:r w:rsidR="002D6DD8">
        <w:t xml:space="preserve"> </w:t>
      </w:r>
      <w:r w:rsidR="000A2EBB">
        <w:t>para a defesa cibernética</w:t>
      </w:r>
      <w:r w:rsidR="0086651D">
        <w:t xml:space="preserve">. Isso é uma visão equivocada, desatenta ao que está acontecendo no mundo. </w:t>
      </w:r>
      <w:r w:rsidR="002D6DD8">
        <w:t xml:space="preserve">   </w:t>
      </w:r>
      <w:r w:rsidR="00657B34">
        <w:t xml:space="preserve">  </w:t>
      </w:r>
    </w:p>
    <w:p w:rsidR="002D1F4D" w:rsidRDefault="00ED280D" w:rsidP="00ED280D">
      <w:pPr>
        <w:pStyle w:val="Recuodecorpodetexto"/>
      </w:pPr>
      <w:r>
        <w:t xml:space="preserve">Fica a Secretaria da </w:t>
      </w:r>
      <w:r w:rsidRPr="00ED280D">
        <w:t>Comissão de Relações Exteriores e Defesa Nacional</w:t>
      </w:r>
      <w:r>
        <w:t xml:space="preserve"> autorizada a promover os ajustes necessários nas propostas de emendas ora apreciadas a fim de formalizá-las </w:t>
      </w:r>
      <w:r w:rsidR="00B55534">
        <w:t xml:space="preserve">de forma adequada </w:t>
      </w:r>
      <w:r>
        <w:t xml:space="preserve">como emenda de autoria da Comissão de Relações Exteriores e Defesa Nacional perante a Comissão Mista de Orçamentos. </w:t>
      </w:r>
    </w:p>
    <w:p w:rsidR="002D1F4D" w:rsidRDefault="002D1F4D">
      <w:pPr>
        <w:pStyle w:val="Recuodecorpodetexto"/>
      </w:pPr>
    </w:p>
    <w:p w:rsidR="00F142C0" w:rsidRPr="006B51FC" w:rsidRDefault="00723274">
      <w:pPr>
        <w:pStyle w:val="Recuodecorpodetexto"/>
      </w:pPr>
      <w:r w:rsidRPr="006B51FC">
        <w:t>P</w:t>
      </w:r>
      <w:r w:rsidR="00F142C0" w:rsidRPr="006B51FC">
        <w:t>lenário</w:t>
      </w:r>
      <w:r w:rsidR="006D5E80" w:rsidRPr="006B51FC">
        <w:t xml:space="preserve"> da Comissão</w:t>
      </w:r>
      <w:r w:rsidR="00BC2571" w:rsidRPr="006B51FC">
        <w:t xml:space="preserve">, em </w:t>
      </w:r>
      <w:r w:rsidR="00342C9A">
        <w:t xml:space="preserve">   </w:t>
      </w:r>
      <w:r w:rsidR="00BC2571" w:rsidRPr="006B51FC">
        <w:t xml:space="preserve"> de </w:t>
      </w:r>
      <w:r w:rsidR="00D7541A">
        <w:t>novembro</w:t>
      </w:r>
      <w:r w:rsidR="006D5E80" w:rsidRPr="006B51FC">
        <w:t xml:space="preserve"> de 20</w:t>
      </w:r>
      <w:r w:rsidR="0011511E">
        <w:t>2</w:t>
      </w:r>
      <w:r w:rsidR="00D7541A">
        <w:t>2</w:t>
      </w:r>
      <w:r w:rsidR="00F142C0" w:rsidRPr="006B51FC">
        <w:t>.</w:t>
      </w:r>
    </w:p>
    <w:p w:rsidR="00BC2571" w:rsidRPr="006B51FC" w:rsidRDefault="00BC2571">
      <w:pPr>
        <w:pStyle w:val="Recuodecorpodetexto"/>
        <w:spacing w:after="0"/>
        <w:ind w:firstLine="0"/>
      </w:pPr>
      <w:r w:rsidRPr="006B51FC">
        <w:t xml:space="preserve"> </w:t>
      </w:r>
    </w:p>
    <w:p w:rsidR="00F142C0" w:rsidRPr="006B51FC" w:rsidRDefault="00F142C0" w:rsidP="00F10FC6">
      <w:pPr>
        <w:pStyle w:val="Recuodecorpodetexto"/>
        <w:spacing w:after="0"/>
        <w:ind w:firstLine="0"/>
      </w:pPr>
    </w:p>
    <w:p w:rsidR="0034220A" w:rsidRPr="006B51FC" w:rsidRDefault="0015245D" w:rsidP="00F10FC6">
      <w:pPr>
        <w:pStyle w:val="Recuodecorpodetexto"/>
        <w:spacing w:after="0"/>
        <w:ind w:firstLine="0"/>
        <w:jc w:val="center"/>
        <w:rPr>
          <w:b/>
        </w:rPr>
      </w:pPr>
      <w:r>
        <w:rPr>
          <w:b/>
        </w:rPr>
        <w:t xml:space="preserve"> </w:t>
      </w:r>
    </w:p>
    <w:p w:rsidR="0034220A" w:rsidRPr="00761A09" w:rsidRDefault="00251DC1" w:rsidP="00B31775">
      <w:pPr>
        <w:pStyle w:val="Recuodecorpodetexto"/>
        <w:spacing w:after="0"/>
        <w:ind w:firstLine="0"/>
        <w:jc w:val="center"/>
        <w:rPr>
          <w:b/>
        </w:rPr>
      </w:pPr>
      <w:r w:rsidRPr="00761A09">
        <w:rPr>
          <w:b/>
        </w:rPr>
        <w:t>SENADOR</w:t>
      </w:r>
      <w:r w:rsidR="00D7541A">
        <w:rPr>
          <w:b/>
        </w:rPr>
        <w:t>A</w:t>
      </w:r>
      <w:r w:rsidRPr="00761A09">
        <w:rPr>
          <w:b/>
        </w:rPr>
        <w:t xml:space="preserve"> </w:t>
      </w:r>
      <w:r w:rsidR="00D7541A">
        <w:rPr>
          <w:b/>
        </w:rPr>
        <w:t>KÁTIA ABREU</w:t>
      </w:r>
    </w:p>
    <w:p w:rsidR="00761A09" w:rsidRPr="006B51FC" w:rsidRDefault="00761A09" w:rsidP="00B31775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>Presidente</w:t>
      </w:r>
    </w:p>
    <w:p w:rsidR="0034220A" w:rsidRPr="006B51FC" w:rsidRDefault="0034220A" w:rsidP="00B31775">
      <w:pPr>
        <w:pStyle w:val="Recuodecorpodetexto"/>
        <w:spacing w:after="0"/>
        <w:ind w:firstLine="0"/>
        <w:jc w:val="center"/>
      </w:pPr>
    </w:p>
    <w:p w:rsidR="00BC2571" w:rsidRPr="006B51FC" w:rsidRDefault="00BC2571" w:rsidP="00F10FC6">
      <w:pPr>
        <w:pStyle w:val="Recuodecorpodetexto"/>
        <w:spacing w:after="0"/>
        <w:ind w:firstLine="0"/>
      </w:pPr>
    </w:p>
    <w:p w:rsidR="00F142C0" w:rsidRDefault="00F142C0" w:rsidP="00F10FC6">
      <w:pPr>
        <w:pStyle w:val="Recuodecorpodetexto"/>
        <w:spacing w:after="0"/>
        <w:ind w:firstLine="0"/>
      </w:pPr>
    </w:p>
    <w:p w:rsidR="00761A09" w:rsidRPr="006B51FC" w:rsidRDefault="00761A09" w:rsidP="00F10FC6">
      <w:pPr>
        <w:pStyle w:val="Recuodecorpodetexto"/>
        <w:spacing w:after="0"/>
        <w:ind w:firstLine="0"/>
      </w:pPr>
    </w:p>
    <w:p w:rsidR="00F142C0" w:rsidRPr="006B51FC" w:rsidRDefault="006B51FC" w:rsidP="00B31775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 xml:space="preserve">SENADOR </w:t>
      </w:r>
      <w:r w:rsidR="00D7541A">
        <w:rPr>
          <w:b/>
        </w:rPr>
        <w:t>MARCOS DO VAL</w:t>
      </w:r>
    </w:p>
    <w:p w:rsidR="00A33094" w:rsidRPr="006B51FC" w:rsidRDefault="00F142C0" w:rsidP="00F10FC6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>Relator</w:t>
      </w:r>
      <w:bookmarkStart w:id="0" w:name="_GoBack"/>
      <w:bookmarkEnd w:id="0"/>
    </w:p>
    <w:p w:rsidR="007A6D53" w:rsidRDefault="00D16CD1" w:rsidP="00D16CD1">
      <w:pPr>
        <w:rPr>
          <w:b/>
        </w:rPr>
      </w:pPr>
      <w:r>
        <w:rPr>
          <w:b/>
        </w:rPr>
        <w:t xml:space="preserve"> </w:t>
      </w:r>
    </w:p>
    <w:sectPr w:rsidR="007A6D53" w:rsidSect="00812AF7">
      <w:headerReference w:type="even" r:id="rId9"/>
      <w:headerReference w:type="default" r:id="rId10"/>
      <w:footerReference w:type="default" r:id="rId11"/>
      <w:pgSz w:w="11907" w:h="16840" w:code="9"/>
      <w:pgMar w:top="141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AD" w:rsidRDefault="00CB26AD">
      <w:r>
        <w:separator/>
      </w:r>
    </w:p>
  </w:endnote>
  <w:endnote w:type="continuationSeparator" w:id="0">
    <w:p w:rsidR="00CB26AD" w:rsidRDefault="00CB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03" w:rsidRDefault="00722E03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3FC5">
      <w:rPr>
        <w:noProof/>
      </w:rPr>
      <w:t>3</w:t>
    </w:r>
    <w:r>
      <w:fldChar w:fldCharType="end"/>
    </w:r>
  </w:p>
  <w:p w:rsidR="002D0110" w:rsidRPr="003F1224" w:rsidRDefault="002D0110" w:rsidP="00F813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AD" w:rsidRDefault="00CB26AD">
      <w:r>
        <w:separator/>
      </w:r>
    </w:p>
  </w:footnote>
  <w:footnote w:type="continuationSeparator" w:id="0">
    <w:p w:rsidR="00CB26AD" w:rsidRDefault="00CB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10" w:rsidRDefault="00493C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1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0110" w:rsidRDefault="002D011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D" w:rsidRDefault="00E7243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BCD">
      <w:t>SENADO FEDERAL</w:t>
    </w:r>
  </w:p>
  <w:p w:rsidR="00AB5BCD" w:rsidRDefault="00AB5BCD" w:rsidP="00AB5BCD">
    <w:pPr>
      <w:pStyle w:val="Cabealho"/>
      <w:ind w:left="851"/>
    </w:pPr>
    <w:r>
      <w:t>COMISSÃO DE RELAÇÕES EXTERIORES E DEFESA NACIONAL</w:t>
    </w:r>
  </w:p>
  <w:p w:rsidR="002D0110" w:rsidRDefault="002D0110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05246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6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 w:numId="17">
    <w:abstractNumId w:val="15"/>
  </w:num>
  <w:num w:numId="18">
    <w:abstractNumId w:val="25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18"/>
  </w:num>
  <w:num w:numId="24">
    <w:abstractNumId w:val="22"/>
  </w:num>
  <w:num w:numId="25">
    <w:abstractNumId w:val="24"/>
  </w:num>
  <w:num w:numId="26">
    <w:abstractNumId w:val="14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04"/>
    <w:rsid w:val="00000BD5"/>
    <w:rsid w:val="00002B8D"/>
    <w:rsid w:val="00006CD2"/>
    <w:rsid w:val="000127E5"/>
    <w:rsid w:val="00012A14"/>
    <w:rsid w:val="000155AB"/>
    <w:rsid w:val="0001676C"/>
    <w:rsid w:val="00016F70"/>
    <w:rsid w:val="00024DD4"/>
    <w:rsid w:val="00026C32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3BEA"/>
    <w:rsid w:val="00095C99"/>
    <w:rsid w:val="000978A0"/>
    <w:rsid w:val="000A2EBB"/>
    <w:rsid w:val="000A3096"/>
    <w:rsid w:val="000A585F"/>
    <w:rsid w:val="000A6DD3"/>
    <w:rsid w:val="000B5BD0"/>
    <w:rsid w:val="000C12BD"/>
    <w:rsid w:val="000C4D5B"/>
    <w:rsid w:val="000C54E2"/>
    <w:rsid w:val="000D1D44"/>
    <w:rsid w:val="000D281F"/>
    <w:rsid w:val="000E07FB"/>
    <w:rsid w:val="000E2479"/>
    <w:rsid w:val="000E4D99"/>
    <w:rsid w:val="000E7D34"/>
    <w:rsid w:val="000F20BC"/>
    <w:rsid w:val="0010681F"/>
    <w:rsid w:val="001113E7"/>
    <w:rsid w:val="0011511E"/>
    <w:rsid w:val="00115BE2"/>
    <w:rsid w:val="00120B3F"/>
    <w:rsid w:val="00121768"/>
    <w:rsid w:val="00123054"/>
    <w:rsid w:val="00126573"/>
    <w:rsid w:val="0013172A"/>
    <w:rsid w:val="00134BA2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72773"/>
    <w:rsid w:val="00172B97"/>
    <w:rsid w:val="001740D2"/>
    <w:rsid w:val="001753EC"/>
    <w:rsid w:val="001758A9"/>
    <w:rsid w:val="00187E39"/>
    <w:rsid w:val="00194340"/>
    <w:rsid w:val="0019504D"/>
    <w:rsid w:val="001958BF"/>
    <w:rsid w:val="001A5D69"/>
    <w:rsid w:val="001A6755"/>
    <w:rsid w:val="001A7CFE"/>
    <w:rsid w:val="001B1855"/>
    <w:rsid w:val="001B5C48"/>
    <w:rsid w:val="001B6591"/>
    <w:rsid w:val="001B6D2E"/>
    <w:rsid w:val="001C1929"/>
    <w:rsid w:val="001C439E"/>
    <w:rsid w:val="001C579F"/>
    <w:rsid w:val="001C73A2"/>
    <w:rsid w:val="001D7A53"/>
    <w:rsid w:val="001D7BCC"/>
    <w:rsid w:val="001E3331"/>
    <w:rsid w:val="001E4736"/>
    <w:rsid w:val="001E51D5"/>
    <w:rsid w:val="001E6AD3"/>
    <w:rsid w:val="001E79ED"/>
    <w:rsid w:val="001F4D17"/>
    <w:rsid w:val="001F6226"/>
    <w:rsid w:val="00215558"/>
    <w:rsid w:val="002175B2"/>
    <w:rsid w:val="0022073F"/>
    <w:rsid w:val="00221769"/>
    <w:rsid w:val="00221988"/>
    <w:rsid w:val="00224B38"/>
    <w:rsid w:val="00226F96"/>
    <w:rsid w:val="0023055C"/>
    <w:rsid w:val="00236D17"/>
    <w:rsid w:val="002370C1"/>
    <w:rsid w:val="00237150"/>
    <w:rsid w:val="00241C0E"/>
    <w:rsid w:val="00242396"/>
    <w:rsid w:val="00246BF5"/>
    <w:rsid w:val="00251DC1"/>
    <w:rsid w:val="00253038"/>
    <w:rsid w:val="00257681"/>
    <w:rsid w:val="00260045"/>
    <w:rsid w:val="002667A7"/>
    <w:rsid w:val="00267979"/>
    <w:rsid w:val="00270DE3"/>
    <w:rsid w:val="0027212C"/>
    <w:rsid w:val="0027333D"/>
    <w:rsid w:val="00273D51"/>
    <w:rsid w:val="00280561"/>
    <w:rsid w:val="002954DB"/>
    <w:rsid w:val="002A37BF"/>
    <w:rsid w:val="002A4556"/>
    <w:rsid w:val="002B07BA"/>
    <w:rsid w:val="002B57EC"/>
    <w:rsid w:val="002B7559"/>
    <w:rsid w:val="002C3601"/>
    <w:rsid w:val="002C6AF9"/>
    <w:rsid w:val="002D0110"/>
    <w:rsid w:val="002D1F4D"/>
    <w:rsid w:val="002D2499"/>
    <w:rsid w:val="002D3494"/>
    <w:rsid w:val="002D45D6"/>
    <w:rsid w:val="002D5CC3"/>
    <w:rsid w:val="002D6DD8"/>
    <w:rsid w:val="002E026D"/>
    <w:rsid w:val="002E6E57"/>
    <w:rsid w:val="002F0E59"/>
    <w:rsid w:val="002F4D27"/>
    <w:rsid w:val="0030354E"/>
    <w:rsid w:val="00305A3E"/>
    <w:rsid w:val="00312A7A"/>
    <w:rsid w:val="00315225"/>
    <w:rsid w:val="003267A5"/>
    <w:rsid w:val="00327C5F"/>
    <w:rsid w:val="00327EF9"/>
    <w:rsid w:val="00332844"/>
    <w:rsid w:val="0033507F"/>
    <w:rsid w:val="00335958"/>
    <w:rsid w:val="0034220A"/>
    <w:rsid w:val="00342C9A"/>
    <w:rsid w:val="003437B6"/>
    <w:rsid w:val="00345B55"/>
    <w:rsid w:val="00347380"/>
    <w:rsid w:val="00354A65"/>
    <w:rsid w:val="003559D4"/>
    <w:rsid w:val="00355F96"/>
    <w:rsid w:val="00356CC4"/>
    <w:rsid w:val="00357937"/>
    <w:rsid w:val="00364F4D"/>
    <w:rsid w:val="00365B0C"/>
    <w:rsid w:val="003770AD"/>
    <w:rsid w:val="00380B37"/>
    <w:rsid w:val="003838A1"/>
    <w:rsid w:val="00384F5C"/>
    <w:rsid w:val="003A0C17"/>
    <w:rsid w:val="003A24E3"/>
    <w:rsid w:val="003A407D"/>
    <w:rsid w:val="003A63FA"/>
    <w:rsid w:val="003A6653"/>
    <w:rsid w:val="003B0C57"/>
    <w:rsid w:val="003C1BB9"/>
    <w:rsid w:val="003C2C51"/>
    <w:rsid w:val="003C5397"/>
    <w:rsid w:val="003D0C88"/>
    <w:rsid w:val="003D2E4C"/>
    <w:rsid w:val="003F406A"/>
    <w:rsid w:val="003F461F"/>
    <w:rsid w:val="004063AF"/>
    <w:rsid w:val="004219B0"/>
    <w:rsid w:val="00423942"/>
    <w:rsid w:val="00423F54"/>
    <w:rsid w:val="004335B7"/>
    <w:rsid w:val="00444B63"/>
    <w:rsid w:val="00454225"/>
    <w:rsid w:val="00455BC5"/>
    <w:rsid w:val="0045678D"/>
    <w:rsid w:val="00467B64"/>
    <w:rsid w:val="004710EF"/>
    <w:rsid w:val="0047168D"/>
    <w:rsid w:val="00473110"/>
    <w:rsid w:val="0047504F"/>
    <w:rsid w:val="0048116F"/>
    <w:rsid w:val="004814DA"/>
    <w:rsid w:val="0048317A"/>
    <w:rsid w:val="00487EEA"/>
    <w:rsid w:val="004938C9"/>
    <w:rsid w:val="00493C88"/>
    <w:rsid w:val="00496720"/>
    <w:rsid w:val="00496935"/>
    <w:rsid w:val="004A34C9"/>
    <w:rsid w:val="004A52FC"/>
    <w:rsid w:val="004A6203"/>
    <w:rsid w:val="004A7075"/>
    <w:rsid w:val="004A7A1E"/>
    <w:rsid w:val="004B0868"/>
    <w:rsid w:val="004B3218"/>
    <w:rsid w:val="004B5539"/>
    <w:rsid w:val="004B7139"/>
    <w:rsid w:val="004C1131"/>
    <w:rsid w:val="004C3B6C"/>
    <w:rsid w:val="004D5DFC"/>
    <w:rsid w:val="004E46C7"/>
    <w:rsid w:val="004E5FE1"/>
    <w:rsid w:val="004F7B81"/>
    <w:rsid w:val="005005EB"/>
    <w:rsid w:val="00501EE0"/>
    <w:rsid w:val="0051371D"/>
    <w:rsid w:val="00513B6B"/>
    <w:rsid w:val="005175E1"/>
    <w:rsid w:val="00520796"/>
    <w:rsid w:val="00520E9E"/>
    <w:rsid w:val="00521305"/>
    <w:rsid w:val="00522D8E"/>
    <w:rsid w:val="0052389A"/>
    <w:rsid w:val="00525FF4"/>
    <w:rsid w:val="00531524"/>
    <w:rsid w:val="005353C2"/>
    <w:rsid w:val="0053778E"/>
    <w:rsid w:val="005405A8"/>
    <w:rsid w:val="005459BA"/>
    <w:rsid w:val="00546762"/>
    <w:rsid w:val="0054705F"/>
    <w:rsid w:val="005474D9"/>
    <w:rsid w:val="00555276"/>
    <w:rsid w:val="0056175C"/>
    <w:rsid w:val="00571C28"/>
    <w:rsid w:val="00572541"/>
    <w:rsid w:val="00572AF0"/>
    <w:rsid w:val="00573FC5"/>
    <w:rsid w:val="0058287D"/>
    <w:rsid w:val="00587609"/>
    <w:rsid w:val="00590DBF"/>
    <w:rsid w:val="00593281"/>
    <w:rsid w:val="00593DFD"/>
    <w:rsid w:val="005950AE"/>
    <w:rsid w:val="00595F10"/>
    <w:rsid w:val="005A5007"/>
    <w:rsid w:val="005A6364"/>
    <w:rsid w:val="005B2FC7"/>
    <w:rsid w:val="005B36C4"/>
    <w:rsid w:val="005B3FE6"/>
    <w:rsid w:val="005B72EA"/>
    <w:rsid w:val="005D0BF2"/>
    <w:rsid w:val="005D2FCC"/>
    <w:rsid w:val="005E413C"/>
    <w:rsid w:val="005E5A83"/>
    <w:rsid w:val="005E7105"/>
    <w:rsid w:val="005E76CB"/>
    <w:rsid w:val="005F4253"/>
    <w:rsid w:val="005F44A4"/>
    <w:rsid w:val="00606AAC"/>
    <w:rsid w:val="006104B3"/>
    <w:rsid w:val="00613333"/>
    <w:rsid w:val="00615F3C"/>
    <w:rsid w:val="00623091"/>
    <w:rsid w:val="006234A2"/>
    <w:rsid w:val="00626A43"/>
    <w:rsid w:val="006304E5"/>
    <w:rsid w:val="006340C3"/>
    <w:rsid w:val="006400A7"/>
    <w:rsid w:val="006409FB"/>
    <w:rsid w:val="00643538"/>
    <w:rsid w:val="00643E19"/>
    <w:rsid w:val="006512CD"/>
    <w:rsid w:val="00656DBB"/>
    <w:rsid w:val="00657B34"/>
    <w:rsid w:val="006623E1"/>
    <w:rsid w:val="00663F63"/>
    <w:rsid w:val="006809B6"/>
    <w:rsid w:val="006844C5"/>
    <w:rsid w:val="00685393"/>
    <w:rsid w:val="00692305"/>
    <w:rsid w:val="006A0058"/>
    <w:rsid w:val="006A197C"/>
    <w:rsid w:val="006A5C98"/>
    <w:rsid w:val="006A67A5"/>
    <w:rsid w:val="006A757E"/>
    <w:rsid w:val="006A76CF"/>
    <w:rsid w:val="006B0CCE"/>
    <w:rsid w:val="006B51FC"/>
    <w:rsid w:val="006C1B44"/>
    <w:rsid w:val="006C5EC6"/>
    <w:rsid w:val="006D5E80"/>
    <w:rsid w:val="006D7A01"/>
    <w:rsid w:val="006E20B5"/>
    <w:rsid w:val="006E75AF"/>
    <w:rsid w:val="006F6B46"/>
    <w:rsid w:val="0070078D"/>
    <w:rsid w:val="00700E0E"/>
    <w:rsid w:val="007020FB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560F3"/>
    <w:rsid w:val="00756462"/>
    <w:rsid w:val="00756A45"/>
    <w:rsid w:val="00761837"/>
    <w:rsid w:val="00761A09"/>
    <w:rsid w:val="007642B1"/>
    <w:rsid w:val="00767162"/>
    <w:rsid w:val="0077665C"/>
    <w:rsid w:val="00777371"/>
    <w:rsid w:val="00777953"/>
    <w:rsid w:val="007822B7"/>
    <w:rsid w:val="00790811"/>
    <w:rsid w:val="00791ED9"/>
    <w:rsid w:val="00792D30"/>
    <w:rsid w:val="00793F85"/>
    <w:rsid w:val="007A6D53"/>
    <w:rsid w:val="007B65DC"/>
    <w:rsid w:val="007C0826"/>
    <w:rsid w:val="007C72E5"/>
    <w:rsid w:val="007D3983"/>
    <w:rsid w:val="007D3A4C"/>
    <w:rsid w:val="007F0130"/>
    <w:rsid w:val="007F0784"/>
    <w:rsid w:val="007F149E"/>
    <w:rsid w:val="008031F8"/>
    <w:rsid w:val="00812AF7"/>
    <w:rsid w:val="00830B08"/>
    <w:rsid w:val="00835DE5"/>
    <w:rsid w:val="00836F2C"/>
    <w:rsid w:val="00845409"/>
    <w:rsid w:val="00845846"/>
    <w:rsid w:val="008511E8"/>
    <w:rsid w:val="008538D6"/>
    <w:rsid w:val="008607D6"/>
    <w:rsid w:val="00863843"/>
    <w:rsid w:val="0086530B"/>
    <w:rsid w:val="0086651D"/>
    <w:rsid w:val="00871855"/>
    <w:rsid w:val="00873C81"/>
    <w:rsid w:val="00874C34"/>
    <w:rsid w:val="00875D57"/>
    <w:rsid w:val="00886A4E"/>
    <w:rsid w:val="00886F0A"/>
    <w:rsid w:val="00893E93"/>
    <w:rsid w:val="00894416"/>
    <w:rsid w:val="00894DCD"/>
    <w:rsid w:val="00896426"/>
    <w:rsid w:val="008B6FA9"/>
    <w:rsid w:val="008C3253"/>
    <w:rsid w:val="008D4CB0"/>
    <w:rsid w:val="008D4D57"/>
    <w:rsid w:val="008F3839"/>
    <w:rsid w:val="008F3EB9"/>
    <w:rsid w:val="008F6969"/>
    <w:rsid w:val="009012BB"/>
    <w:rsid w:val="00906BB0"/>
    <w:rsid w:val="0091196E"/>
    <w:rsid w:val="00912880"/>
    <w:rsid w:val="00913FBB"/>
    <w:rsid w:val="00917127"/>
    <w:rsid w:val="00920599"/>
    <w:rsid w:val="00935B7A"/>
    <w:rsid w:val="00941453"/>
    <w:rsid w:val="00955233"/>
    <w:rsid w:val="00955878"/>
    <w:rsid w:val="009568C9"/>
    <w:rsid w:val="0096059A"/>
    <w:rsid w:val="00963653"/>
    <w:rsid w:val="009660E8"/>
    <w:rsid w:val="00976039"/>
    <w:rsid w:val="00976BA1"/>
    <w:rsid w:val="009778A7"/>
    <w:rsid w:val="00983AA2"/>
    <w:rsid w:val="009A2C91"/>
    <w:rsid w:val="009A4649"/>
    <w:rsid w:val="009A5F1F"/>
    <w:rsid w:val="009A66DD"/>
    <w:rsid w:val="009B039E"/>
    <w:rsid w:val="009B3170"/>
    <w:rsid w:val="009C2236"/>
    <w:rsid w:val="009C4032"/>
    <w:rsid w:val="009C5EF9"/>
    <w:rsid w:val="009C603E"/>
    <w:rsid w:val="009C63E5"/>
    <w:rsid w:val="009C6727"/>
    <w:rsid w:val="009C7C8C"/>
    <w:rsid w:val="009D02B0"/>
    <w:rsid w:val="009D6273"/>
    <w:rsid w:val="009D7C23"/>
    <w:rsid w:val="009E0861"/>
    <w:rsid w:val="009E09B7"/>
    <w:rsid w:val="009E0A46"/>
    <w:rsid w:val="009F2879"/>
    <w:rsid w:val="009F2AA4"/>
    <w:rsid w:val="009F384D"/>
    <w:rsid w:val="009F71D6"/>
    <w:rsid w:val="00A006A7"/>
    <w:rsid w:val="00A05167"/>
    <w:rsid w:val="00A13CFD"/>
    <w:rsid w:val="00A17A6C"/>
    <w:rsid w:val="00A274A9"/>
    <w:rsid w:val="00A32591"/>
    <w:rsid w:val="00A33094"/>
    <w:rsid w:val="00A3544F"/>
    <w:rsid w:val="00A37D68"/>
    <w:rsid w:val="00A45B08"/>
    <w:rsid w:val="00A52762"/>
    <w:rsid w:val="00A57507"/>
    <w:rsid w:val="00A57ECA"/>
    <w:rsid w:val="00A603C6"/>
    <w:rsid w:val="00A6423C"/>
    <w:rsid w:val="00A737C3"/>
    <w:rsid w:val="00A73DD5"/>
    <w:rsid w:val="00A76928"/>
    <w:rsid w:val="00A76E8D"/>
    <w:rsid w:val="00A809BB"/>
    <w:rsid w:val="00A80F50"/>
    <w:rsid w:val="00A84441"/>
    <w:rsid w:val="00A85203"/>
    <w:rsid w:val="00A91FE1"/>
    <w:rsid w:val="00A953A5"/>
    <w:rsid w:val="00A96147"/>
    <w:rsid w:val="00AA1AA4"/>
    <w:rsid w:val="00AA56A3"/>
    <w:rsid w:val="00AA77DF"/>
    <w:rsid w:val="00AB1B48"/>
    <w:rsid w:val="00AB1B90"/>
    <w:rsid w:val="00AB5BCD"/>
    <w:rsid w:val="00AC7A9F"/>
    <w:rsid w:val="00AD18BF"/>
    <w:rsid w:val="00AD3506"/>
    <w:rsid w:val="00AD5C22"/>
    <w:rsid w:val="00AD5E33"/>
    <w:rsid w:val="00AE400C"/>
    <w:rsid w:val="00AE6675"/>
    <w:rsid w:val="00AF0BD4"/>
    <w:rsid w:val="00AF2040"/>
    <w:rsid w:val="00AF5F14"/>
    <w:rsid w:val="00AF7AB6"/>
    <w:rsid w:val="00B04CA7"/>
    <w:rsid w:val="00B11500"/>
    <w:rsid w:val="00B121FB"/>
    <w:rsid w:val="00B138EC"/>
    <w:rsid w:val="00B15DB1"/>
    <w:rsid w:val="00B2093B"/>
    <w:rsid w:val="00B24DD3"/>
    <w:rsid w:val="00B31775"/>
    <w:rsid w:val="00B366FD"/>
    <w:rsid w:val="00B37748"/>
    <w:rsid w:val="00B43293"/>
    <w:rsid w:val="00B511B0"/>
    <w:rsid w:val="00B514AD"/>
    <w:rsid w:val="00B51C87"/>
    <w:rsid w:val="00B524DC"/>
    <w:rsid w:val="00B52D65"/>
    <w:rsid w:val="00B55534"/>
    <w:rsid w:val="00B6071D"/>
    <w:rsid w:val="00B61001"/>
    <w:rsid w:val="00B612AB"/>
    <w:rsid w:val="00B644CA"/>
    <w:rsid w:val="00B73B0B"/>
    <w:rsid w:val="00B7704B"/>
    <w:rsid w:val="00B848E7"/>
    <w:rsid w:val="00B96507"/>
    <w:rsid w:val="00BA0ED6"/>
    <w:rsid w:val="00BA3CB0"/>
    <w:rsid w:val="00BA5BF1"/>
    <w:rsid w:val="00BA6AA6"/>
    <w:rsid w:val="00BA7BD0"/>
    <w:rsid w:val="00BB07E1"/>
    <w:rsid w:val="00BC2571"/>
    <w:rsid w:val="00BC6F86"/>
    <w:rsid w:val="00BC76B2"/>
    <w:rsid w:val="00BD202E"/>
    <w:rsid w:val="00BD2DF2"/>
    <w:rsid w:val="00BE36B0"/>
    <w:rsid w:val="00BE37F5"/>
    <w:rsid w:val="00BE666E"/>
    <w:rsid w:val="00BF32D7"/>
    <w:rsid w:val="00BF367D"/>
    <w:rsid w:val="00C07DE4"/>
    <w:rsid w:val="00C11E92"/>
    <w:rsid w:val="00C12B91"/>
    <w:rsid w:val="00C1745D"/>
    <w:rsid w:val="00C17EA5"/>
    <w:rsid w:val="00C24D0A"/>
    <w:rsid w:val="00C307C3"/>
    <w:rsid w:val="00C349B1"/>
    <w:rsid w:val="00C42E92"/>
    <w:rsid w:val="00C44E95"/>
    <w:rsid w:val="00C5198F"/>
    <w:rsid w:val="00C53EEF"/>
    <w:rsid w:val="00C624D9"/>
    <w:rsid w:val="00C70A91"/>
    <w:rsid w:val="00C70E8E"/>
    <w:rsid w:val="00C7120C"/>
    <w:rsid w:val="00C71AA1"/>
    <w:rsid w:val="00C72A9F"/>
    <w:rsid w:val="00C832E5"/>
    <w:rsid w:val="00C87BE8"/>
    <w:rsid w:val="00C90F08"/>
    <w:rsid w:val="00C96A65"/>
    <w:rsid w:val="00CA4F7D"/>
    <w:rsid w:val="00CA7E46"/>
    <w:rsid w:val="00CB26AD"/>
    <w:rsid w:val="00CB4C21"/>
    <w:rsid w:val="00CC3661"/>
    <w:rsid w:val="00CC51C1"/>
    <w:rsid w:val="00CC5EE4"/>
    <w:rsid w:val="00CD6342"/>
    <w:rsid w:val="00CD6CCC"/>
    <w:rsid w:val="00CE0B80"/>
    <w:rsid w:val="00CF2980"/>
    <w:rsid w:val="00CF42E1"/>
    <w:rsid w:val="00CF724F"/>
    <w:rsid w:val="00D02D9F"/>
    <w:rsid w:val="00D04211"/>
    <w:rsid w:val="00D04D3A"/>
    <w:rsid w:val="00D058DB"/>
    <w:rsid w:val="00D11DE4"/>
    <w:rsid w:val="00D137B5"/>
    <w:rsid w:val="00D1403C"/>
    <w:rsid w:val="00D16636"/>
    <w:rsid w:val="00D16B4F"/>
    <w:rsid w:val="00D16CD1"/>
    <w:rsid w:val="00D21304"/>
    <w:rsid w:val="00D346FE"/>
    <w:rsid w:val="00D4101F"/>
    <w:rsid w:val="00D420C4"/>
    <w:rsid w:val="00D42A8A"/>
    <w:rsid w:val="00D452DF"/>
    <w:rsid w:val="00D5189D"/>
    <w:rsid w:val="00D52CD2"/>
    <w:rsid w:val="00D549E4"/>
    <w:rsid w:val="00D661E7"/>
    <w:rsid w:val="00D67465"/>
    <w:rsid w:val="00D67BEB"/>
    <w:rsid w:val="00D703AD"/>
    <w:rsid w:val="00D7541A"/>
    <w:rsid w:val="00D828EC"/>
    <w:rsid w:val="00D83882"/>
    <w:rsid w:val="00D9059E"/>
    <w:rsid w:val="00D91A70"/>
    <w:rsid w:val="00D956F6"/>
    <w:rsid w:val="00D9684E"/>
    <w:rsid w:val="00DA1C04"/>
    <w:rsid w:val="00DA2F57"/>
    <w:rsid w:val="00DA5152"/>
    <w:rsid w:val="00DA5ED7"/>
    <w:rsid w:val="00DB1DA0"/>
    <w:rsid w:val="00DB585C"/>
    <w:rsid w:val="00DC5BC0"/>
    <w:rsid w:val="00DD3361"/>
    <w:rsid w:val="00DD672C"/>
    <w:rsid w:val="00DD6F64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10CBD"/>
    <w:rsid w:val="00E15541"/>
    <w:rsid w:val="00E239EE"/>
    <w:rsid w:val="00E24401"/>
    <w:rsid w:val="00E245F2"/>
    <w:rsid w:val="00E259D9"/>
    <w:rsid w:val="00E26824"/>
    <w:rsid w:val="00E26865"/>
    <w:rsid w:val="00E33729"/>
    <w:rsid w:val="00E3440A"/>
    <w:rsid w:val="00E371D8"/>
    <w:rsid w:val="00E37AA7"/>
    <w:rsid w:val="00E37B32"/>
    <w:rsid w:val="00E40494"/>
    <w:rsid w:val="00E4183C"/>
    <w:rsid w:val="00E504F3"/>
    <w:rsid w:val="00E57280"/>
    <w:rsid w:val="00E57749"/>
    <w:rsid w:val="00E63D03"/>
    <w:rsid w:val="00E64A97"/>
    <w:rsid w:val="00E72435"/>
    <w:rsid w:val="00E81832"/>
    <w:rsid w:val="00E91B5D"/>
    <w:rsid w:val="00E9445B"/>
    <w:rsid w:val="00E96345"/>
    <w:rsid w:val="00EB1623"/>
    <w:rsid w:val="00EB2F27"/>
    <w:rsid w:val="00EC17FF"/>
    <w:rsid w:val="00EC1898"/>
    <w:rsid w:val="00EC2756"/>
    <w:rsid w:val="00ED280D"/>
    <w:rsid w:val="00ED6A36"/>
    <w:rsid w:val="00ED6D0C"/>
    <w:rsid w:val="00EE3110"/>
    <w:rsid w:val="00EE5B7C"/>
    <w:rsid w:val="00EF28C3"/>
    <w:rsid w:val="00F01122"/>
    <w:rsid w:val="00F065A1"/>
    <w:rsid w:val="00F10FC6"/>
    <w:rsid w:val="00F12F56"/>
    <w:rsid w:val="00F142C0"/>
    <w:rsid w:val="00F25B58"/>
    <w:rsid w:val="00F25FEA"/>
    <w:rsid w:val="00F26659"/>
    <w:rsid w:val="00F33A67"/>
    <w:rsid w:val="00F46F35"/>
    <w:rsid w:val="00F53707"/>
    <w:rsid w:val="00F54D65"/>
    <w:rsid w:val="00F54F89"/>
    <w:rsid w:val="00F625D6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74DC"/>
    <w:rsid w:val="00FA0AF0"/>
    <w:rsid w:val="00FA2209"/>
    <w:rsid w:val="00FA3494"/>
    <w:rsid w:val="00FB23E6"/>
    <w:rsid w:val="00FC19F1"/>
    <w:rsid w:val="00FC335B"/>
    <w:rsid w:val="00FC6946"/>
    <w:rsid w:val="00FD1142"/>
    <w:rsid w:val="00FD45E3"/>
    <w:rsid w:val="00FD6EF4"/>
    <w:rsid w:val="00FE5D02"/>
    <w:rsid w:val="00FF0763"/>
    <w:rsid w:val="00FF08E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A0C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link w:val="RecuodecorpodetextoChar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A0C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9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40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47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2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4461-4E38-418F-B6CF-7BA43E63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Microsoft</cp:lastModifiedBy>
  <cp:revision>6</cp:revision>
  <cp:lastPrinted>2017-10-18T14:21:00Z</cp:lastPrinted>
  <dcterms:created xsi:type="dcterms:W3CDTF">2021-11-11T16:38:00Z</dcterms:created>
  <dcterms:modified xsi:type="dcterms:W3CDTF">2021-11-11T17:23:00Z</dcterms:modified>
</cp:coreProperties>
</file>