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2F" w:rsidRDefault="00CB762F" w:rsidP="00CB762F">
      <w:pPr>
        <w:rPr>
          <w:color w:val="1F497D"/>
        </w:rPr>
      </w:pPr>
    </w:p>
    <w:p w:rsidR="00CB762F" w:rsidRPr="00B8397F" w:rsidRDefault="00CB762F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B8397F" w:rsidRPr="00B8397F" w:rsidRDefault="00B8397F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Exmo. Sr. Presidente desta Comissão de Transparência, Governança, Fiscalização e Controle e Defesa do Consumidor, </w:t>
      </w:r>
      <w:r w:rsidRPr="00FC1277">
        <w:rPr>
          <w:b/>
          <w:sz w:val="26"/>
          <w:szCs w:val="26"/>
        </w:rPr>
        <w:t xml:space="preserve">Senador </w:t>
      </w:r>
      <w:r w:rsidRPr="00FC1277">
        <w:rPr>
          <w:b/>
        </w:rPr>
        <w:t>Ataídes</w:t>
      </w:r>
      <w:r w:rsidRPr="00FC1277">
        <w:rPr>
          <w:b/>
          <w:sz w:val="26"/>
          <w:szCs w:val="26"/>
        </w:rPr>
        <w:t xml:space="preserve"> Oliveira</w:t>
      </w:r>
      <w:r w:rsidRPr="00B8397F">
        <w:rPr>
          <w:sz w:val="26"/>
          <w:szCs w:val="26"/>
        </w:rPr>
        <w:t xml:space="preserve">, Exmo. Sr. Vice-Presidente, Senador Airton Sandoval, </w:t>
      </w:r>
      <w:r w:rsidRPr="00B8397F">
        <w:t>Exmas</w:t>
      </w:r>
      <w:r w:rsidRPr="00B8397F">
        <w:rPr>
          <w:sz w:val="26"/>
          <w:szCs w:val="26"/>
        </w:rPr>
        <w:t xml:space="preserve">. Sras. Senadoras e </w:t>
      </w:r>
      <w:r w:rsidRPr="00B8397F">
        <w:t>Exmos</w:t>
      </w:r>
      <w:r w:rsidRPr="00B8397F">
        <w:rPr>
          <w:sz w:val="26"/>
          <w:szCs w:val="26"/>
        </w:rPr>
        <w:t>. Srs. Senadores, senhoras e senhores aqui presentes; é uma grande honra vir a esta Casa para prestar esclarecimentos a V. Exas. e à sociedade brasileira, em atendimento ao Requerimento 17, de 2017, aprovado nesta Comissão, com a finalidade de discutir “o modelo de fiscalização de movimentações financeiras no Brasil”.</w:t>
      </w:r>
    </w:p>
    <w:p w:rsidR="00CB762F" w:rsidRPr="00B8397F" w:rsidRDefault="00CB762F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B762F" w:rsidRPr="00B8397F" w:rsidRDefault="00CB762F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Primeiramente, agradeço o convite, em nome do </w:t>
      </w:r>
      <w:r w:rsidR="00FB2F90" w:rsidRPr="00B8397F">
        <w:rPr>
          <w:sz w:val="26"/>
          <w:szCs w:val="26"/>
        </w:rPr>
        <w:t>Banco Central</w:t>
      </w:r>
      <w:r w:rsidRPr="00B8397F">
        <w:rPr>
          <w:sz w:val="26"/>
          <w:szCs w:val="26"/>
        </w:rPr>
        <w:t xml:space="preserve"> do Brasil, </w:t>
      </w:r>
      <w:r w:rsidR="009A1C7C" w:rsidRPr="00B8397F">
        <w:rPr>
          <w:sz w:val="26"/>
          <w:szCs w:val="26"/>
        </w:rPr>
        <w:t>para participar da presente audiência pública que trata de assunto d</w:t>
      </w:r>
      <w:r w:rsidR="00664518">
        <w:rPr>
          <w:sz w:val="26"/>
          <w:szCs w:val="26"/>
        </w:rPr>
        <w:t>a maior</w:t>
      </w:r>
      <w:r w:rsidR="009A1C7C" w:rsidRPr="00B8397F">
        <w:rPr>
          <w:sz w:val="26"/>
          <w:szCs w:val="26"/>
        </w:rPr>
        <w:t xml:space="preserve"> relevância</w:t>
      </w:r>
      <w:r w:rsidR="00664518">
        <w:rPr>
          <w:sz w:val="26"/>
          <w:szCs w:val="26"/>
        </w:rPr>
        <w:t xml:space="preserve"> </w:t>
      </w:r>
      <w:r w:rsidR="009A1C7C" w:rsidRPr="00B8397F">
        <w:rPr>
          <w:sz w:val="26"/>
          <w:szCs w:val="26"/>
        </w:rPr>
        <w:t xml:space="preserve"> no atual momento de nosso </w:t>
      </w:r>
      <w:r w:rsidR="00A401C3" w:rsidRPr="00B8397F">
        <w:rPr>
          <w:sz w:val="26"/>
          <w:szCs w:val="26"/>
        </w:rPr>
        <w:t xml:space="preserve">País. </w:t>
      </w:r>
    </w:p>
    <w:p w:rsidR="00CB762F" w:rsidRPr="00B8397F" w:rsidRDefault="00CB762F" w:rsidP="00B8397F">
      <w:pPr>
        <w:pStyle w:val="PargrafodaLista"/>
        <w:spacing w:line="360" w:lineRule="auto"/>
        <w:ind w:left="0"/>
        <w:rPr>
          <w:sz w:val="26"/>
          <w:szCs w:val="26"/>
        </w:rPr>
      </w:pPr>
    </w:p>
    <w:p w:rsidR="00CB762F" w:rsidRPr="00B8397F" w:rsidRDefault="009A1C7C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Para melhor contextualizar a atuação do </w:t>
      </w:r>
      <w:r w:rsidR="00FB2F90" w:rsidRPr="00B8397F">
        <w:rPr>
          <w:sz w:val="26"/>
          <w:szCs w:val="26"/>
        </w:rPr>
        <w:t>Banco Central</w:t>
      </w:r>
      <w:r w:rsidRPr="00B8397F">
        <w:rPr>
          <w:sz w:val="26"/>
          <w:szCs w:val="26"/>
        </w:rPr>
        <w:t xml:space="preserve"> na fiscalização de movimentações financeiras no Brasil, faz-se necessário compreender </w:t>
      </w:r>
      <w:r w:rsidR="00767D70" w:rsidRPr="00B8397F">
        <w:rPr>
          <w:sz w:val="26"/>
          <w:szCs w:val="26"/>
        </w:rPr>
        <w:t xml:space="preserve">o </w:t>
      </w:r>
      <w:r w:rsidR="00CE06BA" w:rsidRPr="00B8397F">
        <w:rPr>
          <w:sz w:val="26"/>
          <w:szCs w:val="26"/>
        </w:rPr>
        <w:t>tamanho e o funcionamento de</w:t>
      </w:r>
      <w:r w:rsidR="00767D70" w:rsidRPr="00B8397F">
        <w:rPr>
          <w:sz w:val="26"/>
          <w:szCs w:val="26"/>
        </w:rPr>
        <w:t xml:space="preserve"> </w:t>
      </w:r>
      <w:r w:rsidRPr="00B8397F">
        <w:rPr>
          <w:sz w:val="26"/>
          <w:szCs w:val="26"/>
        </w:rPr>
        <w:t xml:space="preserve">nosso Sistema Financeiro Nacional. </w:t>
      </w:r>
    </w:p>
    <w:p w:rsidR="00CB762F" w:rsidRPr="00B8397F" w:rsidRDefault="00CB762F" w:rsidP="00B8397F">
      <w:pPr>
        <w:pStyle w:val="PargrafodaLista"/>
        <w:spacing w:line="360" w:lineRule="auto"/>
        <w:ind w:left="0"/>
        <w:rPr>
          <w:sz w:val="26"/>
          <w:szCs w:val="26"/>
        </w:rPr>
      </w:pPr>
    </w:p>
    <w:p w:rsidR="00380D94" w:rsidRPr="00B8397F" w:rsidRDefault="00CE06BA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No Brasil, </w:t>
      </w:r>
      <w:r w:rsidR="00380D94" w:rsidRPr="00B8397F">
        <w:rPr>
          <w:sz w:val="26"/>
          <w:szCs w:val="26"/>
        </w:rPr>
        <w:t>atualmente, são mais de 1.800 instituições financeiras autorizadas pelo Banco Central, com mais de 225 mil pontos de atendimento, incluindo cerca de 23 mil agências bancárias, sem mencionar o atendimento por outros canais, como internet e telefone.</w:t>
      </w:r>
    </w:p>
    <w:p w:rsidR="00380D94" w:rsidRPr="00B8397F" w:rsidRDefault="00380D9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E06BA" w:rsidRPr="00B8397F" w:rsidRDefault="00380D9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D</w:t>
      </w:r>
      <w:r w:rsidR="00E86102" w:rsidRPr="00B8397F">
        <w:rPr>
          <w:sz w:val="26"/>
          <w:szCs w:val="26"/>
        </w:rPr>
        <w:t>e acordo com</w:t>
      </w:r>
      <w:r w:rsidRPr="00B8397F">
        <w:rPr>
          <w:sz w:val="26"/>
          <w:szCs w:val="26"/>
        </w:rPr>
        <w:t xml:space="preserve"> </w:t>
      </w:r>
      <w:r w:rsidR="00E86102" w:rsidRPr="00B8397F">
        <w:rPr>
          <w:sz w:val="26"/>
          <w:szCs w:val="26"/>
        </w:rPr>
        <w:t xml:space="preserve">o Cadastro de Clientes do Sistema Financeiro Nacional (CCS), 87 % da população adulta </w:t>
      </w:r>
      <w:r w:rsidR="00F552EB">
        <w:rPr>
          <w:sz w:val="26"/>
          <w:szCs w:val="26"/>
        </w:rPr>
        <w:t xml:space="preserve">de nosso País </w:t>
      </w:r>
      <w:r w:rsidR="00E86102" w:rsidRPr="00B8397F">
        <w:rPr>
          <w:sz w:val="26"/>
          <w:szCs w:val="26"/>
        </w:rPr>
        <w:t xml:space="preserve">possui algum tipo de relacionamento bancário. São mais de 90 milhões de clientes titulares de contas correntes, 145 milhões de clientes com contas de poupança e por volta de 185 milhões de cartões de débito e crédito ativos. </w:t>
      </w:r>
      <w:r w:rsidR="00CE06BA" w:rsidRPr="00B8397F">
        <w:rPr>
          <w:sz w:val="26"/>
          <w:szCs w:val="26"/>
        </w:rPr>
        <w:t xml:space="preserve"> Estamos falando em mais de 58 bilhões de transações realizadas</w:t>
      </w:r>
      <w:r w:rsidR="00F552EB">
        <w:rPr>
          <w:sz w:val="26"/>
          <w:szCs w:val="26"/>
        </w:rPr>
        <w:t xml:space="preserve"> ao ano</w:t>
      </w:r>
      <w:r w:rsidR="00CE06BA" w:rsidRPr="00B8397F">
        <w:rPr>
          <w:sz w:val="26"/>
          <w:szCs w:val="26"/>
        </w:rPr>
        <w:t>, das quais 20 bilhões por meio do internet banking e 16 bilhões por meio de celular ou tablet.</w:t>
      </w:r>
    </w:p>
    <w:p w:rsidR="00CE06BA" w:rsidRPr="00B8397F" w:rsidRDefault="00CE06BA" w:rsidP="00B8397F">
      <w:pPr>
        <w:pStyle w:val="PargrafodaLista"/>
        <w:spacing w:line="360" w:lineRule="auto"/>
        <w:ind w:left="0"/>
        <w:rPr>
          <w:sz w:val="26"/>
          <w:szCs w:val="26"/>
        </w:rPr>
      </w:pPr>
    </w:p>
    <w:p w:rsidR="00CB762F" w:rsidRPr="00B8397F" w:rsidRDefault="001154F5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Só no ano de </w:t>
      </w:r>
      <w:r w:rsidR="009A1C7C" w:rsidRPr="00B8397F">
        <w:rPr>
          <w:sz w:val="26"/>
          <w:szCs w:val="26"/>
        </w:rPr>
        <w:t xml:space="preserve">2015, foram movimentados no Sistema Financeiro Nacional </w:t>
      </w:r>
      <w:r w:rsidR="00767D70" w:rsidRPr="00B8397F">
        <w:rPr>
          <w:sz w:val="26"/>
          <w:szCs w:val="26"/>
        </w:rPr>
        <w:t>mais de R$ 167 trilhões por meio de Documentos de Ordem de Crédito (DOCs), R$ 15 trilhões por meio de Transferências Eletrônicas Disponíveis (TEDs), R$ 3 trilhões por meio de pagamento</w:t>
      </w:r>
      <w:r w:rsidR="00F51C40" w:rsidRPr="00B8397F">
        <w:rPr>
          <w:sz w:val="26"/>
          <w:szCs w:val="26"/>
        </w:rPr>
        <w:t>s</w:t>
      </w:r>
      <w:r w:rsidR="00767D70" w:rsidRPr="00B8397F">
        <w:rPr>
          <w:sz w:val="26"/>
          <w:szCs w:val="26"/>
        </w:rPr>
        <w:t xml:space="preserve"> de boletos bancários, R$ 1 trilhão por meio de pagamento</w:t>
      </w:r>
      <w:r w:rsidR="00F51C40" w:rsidRPr="00B8397F">
        <w:rPr>
          <w:sz w:val="26"/>
          <w:szCs w:val="26"/>
        </w:rPr>
        <w:t>s</w:t>
      </w:r>
      <w:r w:rsidR="00767D70" w:rsidRPr="00B8397F">
        <w:rPr>
          <w:sz w:val="26"/>
          <w:szCs w:val="26"/>
        </w:rPr>
        <w:t xml:space="preserve"> de cheques, R$ 1 trilhão por meio de transações domésticas mediante o uso de cartões de crédito e débito e R$ 1 trilhão por meio de pagamento</w:t>
      </w:r>
      <w:r w:rsidR="00F51C40" w:rsidRPr="00B8397F">
        <w:rPr>
          <w:sz w:val="26"/>
          <w:szCs w:val="26"/>
        </w:rPr>
        <w:t>s</w:t>
      </w:r>
      <w:r w:rsidR="00767D70" w:rsidRPr="00B8397F">
        <w:rPr>
          <w:sz w:val="26"/>
          <w:szCs w:val="26"/>
        </w:rPr>
        <w:t xml:space="preserve"> de transações no exterior mediante o uso de cartões de crédito.  </w:t>
      </w:r>
    </w:p>
    <w:p w:rsidR="00CE06BA" w:rsidRPr="00B8397F" w:rsidRDefault="00CE06BA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E06BA" w:rsidRPr="00B8397F" w:rsidRDefault="00767D70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Somados, esses valores apontam para uma </w:t>
      </w:r>
      <w:r w:rsidR="00CE06BA" w:rsidRPr="00B8397F">
        <w:rPr>
          <w:sz w:val="26"/>
          <w:szCs w:val="26"/>
        </w:rPr>
        <w:t xml:space="preserve">movimentação de recursos </w:t>
      </w:r>
      <w:r w:rsidRPr="00B8397F">
        <w:rPr>
          <w:sz w:val="26"/>
          <w:szCs w:val="26"/>
        </w:rPr>
        <w:t>diária d</w:t>
      </w:r>
      <w:r w:rsidR="00F51C40" w:rsidRPr="00B8397F">
        <w:rPr>
          <w:sz w:val="26"/>
          <w:szCs w:val="26"/>
        </w:rPr>
        <w:t>a ordem d</w:t>
      </w:r>
      <w:r w:rsidRPr="00B8397F">
        <w:rPr>
          <w:sz w:val="26"/>
          <w:szCs w:val="26"/>
        </w:rPr>
        <w:t>e R$ 750 bilhões</w:t>
      </w:r>
      <w:r w:rsidR="00CE06BA" w:rsidRPr="00B8397F">
        <w:rPr>
          <w:sz w:val="26"/>
          <w:szCs w:val="26"/>
        </w:rPr>
        <w:t>. Tamanho fluxo de volume de recursos legítimos sendo transacionados diariamente leva o crime a procurar o sistema financeiro para diluir e dar uma aparência legítima aos recursos provenientes de suas práticas ilícitas.</w:t>
      </w:r>
    </w:p>
    <w:p w:rsidR="00CE06BA" w:rsidRPr="00B8397F" w:rsidRDefault="00CE06BA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E86102" w:rsidRPr="00B8397F" w:rsidRDefault="00E8610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Particularmente, as operações em espécie podem ser mais procuradas para movimentos de lavagem de dinheiro, pois abrem a possibilidade de que os verdadeiros depositantes e beneficiários dos valores em espécie tenham suas identificações omitidas, além de dificultar o rastreamento da movimentação financeira. No entanto, é importante destacar que diversas atividades econômicas</w:t>
      </w:r>
      <w:r w:rsidR="00F552EB">
        <w:rPr>
          <w:sz w:val="26"/>
          <w:szCs w:val="26"/>
        </w:rPr>
        <w:t xml:space="preserve"> legais</w:t>
      </w:r>
      <w:r w:rsidR="00DE23A2" w:rsidRPr="00B8397F">
        <w:rPr>
          <w:sz w:val="26"/>
          <w:szCs w:val="26"/>
        </w:rPr>
        <w:t>, notadamente ligadas ao comércio varejista,</w:t>
      </w:r>
      <w:r w:rsidRPr="00B8397F">
        <w:rPr>
          <w:sz w:val="26"/>
          <w:szCs w:val="26"/>
        </w:rPr>
        <w:t xml:space="preserve"> </w:t>
      </w:r>
      <w:r w:rsidR="00DE23A2" w:rsidRPr="00B8397F">
        <w:rPr>
          <w:sz w:val="26"/>
          <w:szCs w:val="26"/>
        </w:rPr>
        <w:t xml:space="preserve">realizam transações legítimas com recursos em espécie. </w:t>
      </w:r>
    </w:p>
    <w:p w:rsidR="00E86102" w:rsidRPr="00B8397F" w:rsidRDefault="00E8610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E06BA" w:rsidRPr="00B8397F" w:rsidRDefault="00CE06BA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Para coibir práticas</w:t>
      </w:r>
      <w:r w:rsidR="001154F5" w:rsidRPr="00B8397F">
        <w:rPr>
          <w:sz w:val="26"/>
          <w:szCs w:val="26"/>
        </w:rPr>
        <w:t xml:space="preserve"> criminosas</w:t>
      </w:r>
      <w:r w:rsidRPr="00B8397F">
        <w:rPr>
          <w:sz w:val="26"/>
          <w:szCs w:val="26"/>
        </w:rPr>
        <w:t>, construiu-se nas últimas décadas arcabouço legislativo e regulatório internacional, apoiado nas Recomendações do GAFI,</w:t>
      </w:r>
      <w:r w:rsidR="00F552EB">
        <w:rPr>
          <w:sz w:val="26"/>
          <w:szCs w:val="26"/>
        </w:rPr>
        <w:t xml:space="preserve"> </w:t>
      </w:r>
      <w:r w:rsidRPr="00B8397F">
        <w:rPr>
          <w:sz w:val="26"/>
          <w:szCs w:val="26"/>
        </w:rPr>
        <w:t xml:space="preserve">e refletido em nosso País pela Lei nº 9.613, de 1998, </w:t>
      </w:r>
      <w:r w:rsidR="001154F5" w:rsidRPr="00B8397F">
        <w:rPr>
          <w:sz w:val="26"/>
          <w:szCs w:val="26"/>
        </w:rPr>
        <w:t>que criou a</w:t>
      </w:r>
      <w:r w:rsidRPr="00B8397F">
        <w:rPr>
          <w:sz w:val="26"/>
          <w:szCs w:val="26"/>
        </w:rPr>
        <w:t xml:space="preserve"> nossa unidade de inteligência financeira, o Coaf, e pelas normas emanadas dos diversos órgãos reguladores</w:t>
      </w:r>
      <w:r w:rsidR="00F552EB">
        <w:rPr>
          <w:sz w:val="26"/>
          <w:szCs w:val="26"/>
        </w:rPr>
        <w:t>, inclusive o Banco Central do Brasil</w:t>
      </w:r>
      <w:r w:rsidRPr="00B8397F">
        <w:rPr>
          <w:sz w:val="26"/>
          <w:szCs w:val="26"/>
        </w:rPr>
        <w:t>.</w:t>
      </w:r>
    </w:p>
    <w:p w:rsidR="00CE06BA" w:rsidRPr="00B8397F" w:rsidRDefault="00CE06BA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Além de tipificar o crime de lavagem de dinheiro, a legislação estruturou um regime administrativo, pelo qual são definidos setores da atividade econômica que compartilham com o Estado a responsabilidade por sua prevenção, e estabeleceu um conjunto de procedimentos que dificultam o encobrimento da origem ilícita dos recursos e facilitam o trabalho de investigação. Entre esses setores estão as instituições integrantes do Sistema Financeiro Nacional (SFN) </w:t>
      </w:r>
      <w:r w:rsidR="00307749">
        <w:rPr>
          <w:sz w:val="26"/>
          <w:szCs w:val="26"/>
        </w:rPr>
        <w:t>reguladas, autorizadas e fiscalizadas</w:t>
      </w:r>
      <w:r w:rsidRPr="00B8397F">
        <w:rPr>
          <w:sz w:val="26"/>
          <w:szCs w:val="26"/>
        </w:rPr>
        <w:t xml:space="preserve"> pelo </w:t>
      </w:r>
      <w:r w:rsidR="00FB2F90" w:rsidRPr="00B8397F">
        <w:rPr>
          <w:sz w:val="26"/>
          <w:szCs w:val="26"/>
        </w:rPr>
        <w:t>Banco Central</w:t>
      </w:r>
      <w:r w:rsidRPr="00B8397F">
        <w:rPr>
          <w:sz w:val="26"/>
          <w:szCs w:val="26"/>
        </w:rPr>
        <w:t>.</w:t>
      </w: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O sistema é baseado nos seguintes princípios fundamentais: i) identificação de clientes; ii) manutenção de cadastros atualizados </w:t>
      </w:r>
      <w:r w:rsidR="00307749">
        <w:rPr>
          <w:sz w:val="26"/>
          <w:szCs w:val="26"/>
        </w:rPr>
        <w:t xml:space="preserve">dos clientes </w:t>
      </w:r>
      <w:r w:rsidRPr="00B8397F">
        <w:rPr>
          <w:sz w:val="26"/>
          <w:szCs w:val="26"/>
        </w:rPr>
        <w:t xml:space="preserve">e de registros das </w:t>
      </w:r>
      <w:r w:rsidR="00307749">
        <w:rPr>
          <w:sz w:val="26"/>
          <w:szCs w:val="26"/>
        </w:rPr>
        <w:t xml:space="preserve">suas </w:t>
      </w:r>
      <w:r w:rsidRPr="00B8397F">
        <w:rPr>
          <w:sz w:val="26"/>
          <w:szCs w:val="26"/>
        </w:rPr>
        <w:t>operações; iii) monitoramento para a detecção de situações atípicas ou suspeitas; iv) comunicação dessas ocorrências à unidade de inteligência financeira (o Coaf). Em sua atividade de inteligência financeira, o Coaf coteja e compila esse conjunto de informações para a produção de relatórios que são encaminhados às autoridades competentes para conduzir investigações.</w:t>
      </w: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As instituições integrantes do SFN que se encontram sob regulação e supervisão do </w:t>
      </w:r>
      <w:r w:rsidR="00FB2F90" w:rsidRPr="00B8397F">
        <w:rPr>
          <w:sz w:val="26"/>
          <w:szCs w:val="26"/>
        </w:rPr>
        <w:t>Banco Central</w:t>
      </w:r>
      <w:r w:rsidRPr="00B8397F">
        <w:rPr>
          <w:sz w:val="26"/>
          <w:szCs w:val="26"/>
        </w:rPr>
        <w:t xml:space="preserve">, pela natureza das operações que realizam, compõem segmento relevante sob a ótica de PLD/FT e com grande potencial de produção de informações para o Coaf. </w:t>
      </w:r>
    </w:p>
    <w:p w:rsidR="00F51C40" w:rsidRPr="00B8397F" w:rsidRDefault="00F51C40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DE23A2" w:rsidRPr="00D025A0" w:rsidRDefault="00DE23A2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  <w:r w:rsidRPr="00D025A0">
        <w:rPr>
          <w:b/>
          <w:sz w:val="26"/>
          <w:szCs w:val="26"/>
        </w:rPr>
        <w:t xml:space="preserve">O papel do </w:t>
      </w:r>
      <w:r w:rsidR="00FB2F90" w:rsidRPr="00D025A0">
        <w:rPr>
          <w:b/>
          <w:sz w:val="26"/>
          <w:szCs w:val="26"/>
        </w:rPr>
        <w:t xml:space="preserve">Banco Central </w:t>
      </w:r>
      <w:r w:rsidRPr="00D025A0">
        <w:rPr>
          <w:b/>
          <w:sz w:val="26"/>
          <w:szCs w:val="26"/>
        </w:rPr>
        <w:t xml:space="preserve">nesse sistema é atuar para que as entidades supervisionadas exerçam suas atividades em plena conformidade à legislação, de maneira a assegurar fluxo tempestivo e adequado de informações coletadas pelas </w:t>
      </w:r>
      <w:r w:rsidR="00F51C40" w:rsidRPr="00D025A0">
        <w:rPr>
          <w:b/>
          <w:sz w:val="26"/>
          <w:szCs w:val="26"/>
        </w:rPr>
        <w:t>instituições do SFN para o Coaf</w:t>
      </w:r>
      <w:r w:rsidRPr="00D025A0">
        <w:rPr>
          <w:b/>
          <w:sz w:val="26"/>
          <w:szCs w:val="26"/>
        </w:rPr>
        <w:t>.</w:t>
      </w: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94153" w:rsidRDefault="00C94153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94153" w:rsidRDefault="00C94153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94153" w:rsidRDefault="00C94153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E86102" w:rsidRPr="00B8397F" w:rsidRDefault="00E8610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O </w:t>
      </w:r>
      <w:r w:rsidR="00FB2F90" w:rsidRPr="00B8397F">
        <w:rPr>
          <w:sz w:val="26"/>
          <w:szCs w:val="26"/>
        </w:rPr>
        <w:t>Banco Central</w:t>
      </w:r>
      <w:r w:rsidRPr="00B8397F">
        <w:rPr>
          <w:sz w:val="26"/>
          <w:szCs w:val="26"/>
        </w:rPr>
        <w:t xml:space="preserve"> inicialmente regulamentou a Lei nº 9.613, de 1998, com a edição da Circular nº 2.852, de 3 de dezembro de 1998, e da Carta-Circular nº 2.826, de 4 de dezembro de 1998, que </w:t>
      </w:r>
      <w:r w:rsidR="00F51C40" w:rsidRPr="00B8397F">
        <w:rPr>
          <w:sz w:val="26"/>
          <w:szCs w:val="26"/>
        </w:rPr>
        <w:t>estabelec</w:t>
      </w:r>
      <w:r w:rsidR="00C94153">
        <w:rPr>
          <w:sz w:val="26"/>
          <w:szCs w:val="26"/>
        </w:rPr>
        <w:t>eram</w:t>
      </w:r>
      <w:r w:rsidR="00F51C40" w:rsidRPr="00B8397F">
        <w:rPr>
          <w:sz w:val="26"/>
          <w:szCs w:val="26"/>
        </w:rPr>
        <w:t xml:space="preserve"> </w:t>
      </w:r>
      <w:r w:rsidRPr="00B8397F">
        <w:rPr>
          <w:sz w:val="26"/>
          <w:szCs w:val="26"/>
        </w:rPr>
        <w:t xml:space="preserve">as regras e </w:t>
      </w:r>
      <w:r w:rsidR="00C94153">
        <w:rPr>
          <w:sz w:val="26"/>
          <w:szCs w:val="26"/>
        </w:rPr>
        <w:t xml:space="preserve">os </w:t>
      </w:r>
      <w:r w:rsidRPr="00B8397F">
        <w:rPr>
          <w:sz w:val="26"/>
          <w:szCs w:val="26"/>
        </w:rPr>
        <w:t>procedimentos de PLD</w:t>
      </w:r>
      <w:r w:rsidR="00C94153">
        <w:rPr>
          <w:sz w:val="26"/>
          <w:szCs w:val="26"/>
        </w:rPr>
        <w:t xml:space="preserve"> a serem seguidos pelas instituições financeiras, bem como </w:t>
      </w:r>
      <w:r w:rsidRPr="00B8397F">
        <w:rPr>
          <w:sz w:val="26"/>
          <w:szCs w:val="26"/>
        </w:rPr>
        <w:t>as situações que pode</w:t>
      </w:r>
      <w:r w:rsidR="00F51C40" w:rsidRPr="00B8397F">
        <w:rPr>
          <w:sz w:val="26"/>
          <w:szCs w:val="26"/>
        </w:rPr>
        <w:t>ria</w:t>
      </w:r>
      <w:r w:rsidRPr="00B8397F">
        <w:rPr>
          <w:sz w:val="26"/>
          <w:szCs w:val="26"/>
        </w:rPr>
        <w:t>m configurar indícios de ocorrência dos crimes previstos na citada Lei, passíveis de comunicação ao Coaf.</w:t>
      </w:r>
    </w:p>
    <w:p w:rsidR="00E86102" w:rsidRPr="00B8397F" w:rsidRDefault="00E8610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767D70" w:rsidRPr="00BA75F6" w:rsidRDefault="00E86102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  <w:r w:rsidRPr="00BA75F6">
        <w:rPr>
          <w:b/>
          <w:sz w:val="26"/>
          <w:szCs w:val="26"/>
        </w:rPr>
        <w:t xml:space="preserve">Objetivando instituir controle adicional </w:t>
      </w:r>
      <w:r w:rsidR="00BA75F6" w:rsidRPr="00BA75F6">
        <w:rPr>
          <w:b/>
          <w:sz w:val="26"/>
          <w:szCs w:val="26"/>
        </w:rPr>
        <w:t>para as</w:t>
      </w:r>
      <w:r w:rsidRPr="00BA75F6">
        <w:rPr>
          <w:b/>
          <w:sz w:val="26"/>
          <w:szCs w:val="26"/>
        </w:rPr>
        <w:t xml:space="preserve"> operações em espécie, o </w:t>
      </w:r>
      <w:r w:rsidR="00FB2F90" w:rsidRPr="00BA75F6">
        <w:rPr>
          <w:b/>
          <w:sz w:val="26"/>
          <w:szCs w:val="26"/>
        </w:rPr>
        <w:t>Banco Central</w:t>
      </w:r>
      <w:r w:rsidR="00DE23A2" w:rsidRPr="00BA75F6">
        <w:rPr>
          <w:b/>
          <w:sz w:val="26"/>
          <w:szCs w:val="26"/>
        </w:rPr>
        <w:t>, por meio da Carta-Circular nº 3.098, de 11 de junho de 2003,</w:t>
      </w:r>
      <w:r w:rsidRPr="00BA75F6">
        <w:rPr>
          <w:b/>
          <w:sz w:val="26"/>
          <w:szCs w:val="26"/>
        </w:rPr>
        <w:t xml:space="preserve"> estabeleceu o dever d</w:t>
      </w:r>
      <w:r w:rsidR="00F51C40" w:rsidRPr="00BA75F6">
        <w:rPr>
          <w:b/>
          <w:sz w:val="26"/>
          <w:szCs w:val="26"/>
        </w:rPr>
        <w:t xml:space="preserve">as instituições financeiras </w:t>
      </w:r>
      <w:r w:rsidRPr="00BA75F6">
        <w:rPr>
          <w:b/>
          <w:sz w:val="26"/>
          <w:szCs w:val="26"/>
        </w:rPr>
        <w:t>comunica</w:t>
      </w:r>
      <w:r w:rsidR="00F51C40" w:rsidRPr="00BA75F6">
        <w:rPr>
          <w:b/>
          <w:sz w:val="26"/>
          <w:szCs w:val="26"/>
        </w:rPr>
        <w:t>rem</w:t>
      </w:r>
      <w:r w:rsidRPr="00BA75F6">
        <w:rPr>
          <w:b/>
          <w:sz w:val="26"/>
          <w:szCs w:val="26"/>
        </w:rPr>
        <w:t xml:space="preserve"> ao Coaf operações em espécie (provisionamento para saque, saque e depósito), quando o valor for igual ou superior a R$ 100 mil. A instituição financeira deve inserir na comunicação ao Coaf as seguintes informações capturadas quando da realização da operação em espécie: (1) a identificação da pessoa que se dirige à instituição financeira para realizar a operação em espécie; (2) quando não se tratar de operação própria, a identificação da pessoa em nome de quem está atuando; (3) a conta depositária ou sacada; (4) </w:t>
      </w:r>
      <w:r w:rsidR="00BA75F6" w:rsidRPr="00BA75F6">
        <w:rPr>
          <w:b/>
          <w:sz w:val="26"/>
          <w:szCs w:val="26"/>
        </w:rPr>
        <w:t xml:space="preserve">a </w:t>
      </w:r>
      <w:r w:rsidRPr="00BA75F6">
        <w:rPr>
          <w:b/>
          <w:sz w:val="26"/>
          <w:szCs w:val="26"/>
        </w:rPr>
        <w:t xml:space="preserve">data e </w:t>
      </w:r>
      <w:r w:rsidR="00BA75F6" w:rsidRPr="00BA75F6">
        <w:rPr>
          <w:b/>
          <w:sz w:val="26"/>
          <w:szCs w:val="26"/>
        </w:rPr>
        <w:t xml:space="preserve">o </w:t>
      </w:r>
      <w:r w:rsidRPr="00BA75F6">
        <w:rPr>
          <w:b/>
          <w:sz w:val="26"/>
          <w:szCs w:val="26"/>
        </w:rPr>
        <w:t>valor da operação. Essa comunicação ao Coaf deve ser feita até o dia útil seguinte ao da operação em espécie realizada. As tentativas de burla ao limite de R$ 100 mil devem ser identificadas pelas instituições financeiras e igualmente reportadas ao Coaf.</w:t>
      </w:r>
      <w:r w:rsidR="00767D70" w:rsidRPr="00BA75F6">
        <w:rPr>
          <w:b/>
          <w:sz w:val="26"/>
          <w:szCs w:val="26"/>
        </w:rPr>
        <w:t xml:space="preserve"> </w:t>
      </w:r>
    </w:p>
    <w:p w:rsidR="00CB762F" w:rsidRPr="00B8397F" w:rsidRDefault="00CB762F" w:rsidP="00B8397F">
      <w:pPr>
        <w:pStyle w:val="PargrafodaLista"/>
        <w:spacing w:line="360" w:lineRule="auto"/>
        <w:ind w:left="0"/>
        <w:rPr>
          <w:sz w:val="26"/>
          <w:szCs w:val="26"/>
        </w:rPr>
      </w:pPr>
    </w:p>
    <w:p w:rsidR="002921A3" w:rsidRPr="00B8397F" w:rsidRDefault="002921A3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Posteriormente, em 27 de julho de 2008, por meio da Circular nº 3.422, o </w:t>
      </w:r>
      <w:r w:rsidR="00FB2F90" w:rsidRPr="00B8397F">
        <w:rPr>
          <w:sz w:val="26"/>
          <w:szCs w:val="26"/>
        </w:rPr>
        <w:t>Banco Central</w:t>
      </w:r>
      <w:r w:rsidRPr="00B8397F">
        <w:rPr>
          <w:sz w:val="26"/>
          <w:szCs w:val="26"/>
        </w:rPr>
        <w:t xml:space="preserve"> estabeleceu a obrigatoriedade do registro da emissão ou recarga de valores em um ou mais </w:t>
      </w:r>
      <w:r w:rsidRPr="00532434">
        <w:rPr>
          <w:b/>
          <w:sz w:val="26"/>
          <w:szCs w:val="26"/>
        </w:rPr>
        <w:t>cartões pré-pagos</w:t>
      </w:r>
      <w:r w:rsidRPr="00B8397F">
        <w:rPr>
          <w:sz w:val="26"/>
          <w:szCs w:val="26"/>
        </w:rPr>
        <w:t xml:space="preserve">, em montante acumulado igual ou superior a R$100.000,00 ou o equivalente em moeda </w:t>
      </w:r>
      <w:r w:rsidR="0070192D" w:rsidRPr="00B8397F">
        <w:rPr>
          <w:sz w:val="26"/>
          <w:szCs w:val="26"/>
        </w:rPr>
        <w:t>e</w:t>
      </w:r>
      <w:r w:rsidRPr="00B8397F">
        <w:rPr>
          <w:sz w:val="26"/>
          <w:szCs w:val="26"/>
        </w:rPr>
        <w:t xml:space="preserve">strangeira, bem como as emissões ou recargas que apresentem indícios de ocultação ou </w:t>
      </w:r>
      <w:r w:rsidR="0070192D" w:rsidRPr="00B8397F">
        <w:rPr>
          <w:sz w:val="26"/>
          <w:szCs w:val="26"/>
        </w:rPr>
        <w:t xml:space="preserve">de </w:t>
      </w:r>
      <w:r w:rsidRPr="00B8397F">
        <w:rPr>
          <w:sz w:val="26"/>
          <w:szCs w:val="26"/>
        </w:rPr>
        <w:t>dissimulação da natureza, da origem, da localização, da disposição, da movimentação ou da propriedade de bens, direitos e valores</w:t>
      </w:r>
      <w:r w:rsidR="0070192D" w:rsidRPr="00B8397F">
        <w:rPr>
          <w:sz w:val="26"/>
          <w:szCs w:val="26"/>
        </w:rPr>
        <w:t>.</w:t>
      </w:r>
    </w:p>
    <w:p w:rsidR="002921A3" w:rsidRPr="00B8397F" w:rsidRDefault="002921A3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Em 24 de julho de 2009, o </w:t>
      </w:r>
      <w:r w:rsidR="00FB2F90" w:rsidRPr="00B8397F">
        <w:rPr>
          <w:sz w:val="26"/>
          <w:szCs w:val="26"/>
        </w:rPr>
        <w:t xml:space="preserve">Banco Central </w:t>
      </w:r>
      <w:r w:rsidRPr="00B8397F">
        <w:rPr>
          <w:sz w:val="26"/>
          <w:szCs w:val="26"/>
        </w:rPr>
        <w:t xml:space="preserve">emitiu a Circular nº 3.461, em substituição à Circular </w:t>
      </w:r>
      <w:r w:rsidR="0070192D" w:rsidRPr="00B8397F">
        <w:rPr>
          <w:sz w:val="26"/>
          <w:szCs w:val="26"/>
        </w:rPr>
        <w:t xml:space="preserve">nº </w:t>
      </w:r>
      <w:r w:rsidRPr="00B8397F">
        <w:rPr>
          <w:sz w:val="26"/>
          <w:szCs w:val="26"/>
        </w:rPr>
        <w:t>2.852, de 1998, e à</w:t>
      </w:r>
      <w:r w:rsidR="002921A3" w:rsidRPr="00B8397F">
        <w:rPr>
          <w:sz w:val="26"/>
          <w:szCs w:val="26"/>
        </w:rPr>
        <w:t xml:space="preserve">s já citadas Circular </w:t>
      </w:r>
      <w:r w:rsidR="0070192D" w:rsidRPr="00B8397F">
        <w:rPr>
          <w:sz w:val="26"/>
          <w:szCs w:val="26"/>
        </w:rPr>
        <w:t xml:space="preserve">nº </w:t>
      </w:r>
      <w:r w:rsidR="002921A3" w:rsidRPr="00B8397F">
        <w:rPr>
          <w:sz w:val="26"/>
          <w:szCs w:val="26"/>
        </w:rPr>
        <w:t>3.422, de 2008 e</w:t>
      </w:r>
      <w:r w:rsidRPr="00B8397F">
        <w:rPr>
          <w:sz w:val="26"/>
          <w:szCs w:val="26"/>
        </w:rPr>
        <w:t xml:space="preserve"> Carta-Circular </w:t>
      </w:r>
      <w:r w:rsidR="0070192D" w:rsidRPr="00B8397F">
        <w:rPr>
          <w:sz w:val="26"/>
          <w:szCs w:val="26"/>
        </w:rPr>
        <w:t xml:space="preserve">nº </w:t>
      </w:r>
      <w:r w:rsidRPr="00B8397F">
        <w:rPr>
          <w:sz w:val="26"/>
          <w:szCs w:val="26"/>
        </w:rPr>
        <w:t>3.098, de 2003, aperfeiçoando o marco regulatório de maneira alinhada com as Recomendações do Gafi em relação a PLD/FT.</w:t>
      </w: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Foram emitidas também a Carta-Circular nº 3.430, de 11 de fevereiro de 2010, que divulga esclarecimentos sobre a Circular nº 3.461, de 2009, e a Carta-Circular nº 3.542, de 12 de março de 2012, que substituiu a Carta-Circular nº 2.826, de 1998, e listou 106 exemplos de operações ou situações que podem configurar indício dos crimes previstos na Lei nº 9.613, de 1998, para fins de comunicação ao Coaf.</w:t>
      </w:r>
    </w:p>
    <w:p w:rsidR="00DE23A2" w:rsidRPr="00B8397F" w:rsidRDefault="00DE23A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2921A3" w:rsidRPr="00B8397F" w:rsidRDefault="002921A3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É importante registrar que não há lei ou norma </w:t>
      </w:r>
      <w:r w:rsidR="007D3EB4" w:rsidRPr="00B8397F">
        <w:rPr>
          <w:sz w:val="26"/>
          <w:szCs w:val="26"/>
        </w:rPr>
        <w:t>que restrinja as transações e movimentações financeiras no país, salvo nos casos de determinação de bloqueio de recursos por ordem judicial</w:t>
      </w:r>
      <w:r w:rsidR="001154F5" w:rsidRPr="00B8397F">
        <w:rPr>
          <w:sz w:val="26"/>
          <w:szCs w:val="26"/>
        </w:rPr>
        <w:t xml:space="preserve"> ou indisponibilidade de bens decorrente de previsão legal, como é o caso dos administradores e controladores de instituições financeiras submetidas a regimes especiais</w:t>
      </w:r>
      <w:r w:rsidR="007D3EB4" w:rsidRPr="00B8397F">
        <w:rPr>
          <w:sz w:val="26"/>
          <w:szCs w:val="26"/>
        </w:rPr>
        <w:t>, de modo que a movimentação de contas de depósito não pode ser impedida</w:t>
      </w:r>
      <w:r w:rsidR="0070192D" w:rsidRPr="00B8397F">
        <w:rPr>
          <w:sz w:val="26"/>
          <w:szCs w:val="26"/>
        </w:rPr>
        <w:t>,</w:t>
      </w:r>
      <w:r w:rsidR="007D3EB4" w:rsidRPr="00B8397F">
        <w:rPr>
          <w:sz w:val="26"/>
          <w:szCs w:val="26"/>
        </w:rPr>
        <w:t xml:space="preserve"> seja pelas instituições financeiras</w:t>
      </w:r>
      <w:r w:rsidR="0070192D" w:rsidRPr="00B8397F">
        <w:rPr>
          <w:sz w:val="26"/>
          <w:szCs w:val="26"/>
        </w:rPr>
        <w:t>,</w:t>
      </w:r>
      <w:r w:rsidR="007D3EB4" w:rsidRPr="00B8397F">
        <w:rPr>
          <w:sz w:val="26"/>
          <w:szCs w:val="26"/>
        </w:rPr>
        <w:t xml:space="preserve"> seja pelo </w:t>
      </w:r>
      <w:r w:rsidR="00FB2F90" w:rsidRPr="00B8397F">
        <w:rPr>
          <w:sz w:val="26"/>
          <w:szCs w:val="26"/>
        </w:rPr>
        <w:t>Banco Central</w:t>
      </w:r>
      <w:r w:rsidR="007D3EB4" w:rsidRPr="00B8397F">
        <w:rPr>
          <w:sz w:val="26"/>
          <w:szCs w:val="26"/>
        </w:rPr>
        <w:t>.</w:t>
      </w:r>
    </w:p>
    <w:p w:rsidR="007D3EB4" w:rsidRPr="00B8397F" w:rsidRDefault="007D3EB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981CCD" w:rsidRPr="00B8397F" w:rsidRDefault="0053243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No entanto, a</w:t>
      </w:r>
      <w:r w:rsidR="00981CCD" w:rsidRPr="00B8397F">
        <w:rPr>
          <w:sz w:val="26"/>
          <w:szCs w:val="26"/>
        </w:rPr>
        <w:t xml:space="preserve"> partir d</w:t>
      </w:r>
      <w:r w:rsidR="00C82E06" w:rsidRPr="00B8397F">
        <w:rPr>
          <w:sz w:val="26"/>
          <w:szCs w:val="26"/>
        </w:rPr>
        <w:t>as</w:t>
      </w:r>
      <w:r w:rsidR="00981CCD" w:rsidRPr="00B8397F">
        <w:rPr>
          <w:sz w:val="26"/>
          <w:szCs w:val="26"/>
        </w:rPr>
        <w:t xml:space="preserve"> informações prestadas pelas </w:t>
      </w:r>
      <w:r w:rsidR="00C82E06" w:rsidRPr="00B8397F">
        <w:rPr>
          <w:sz w:val="26"/>
          <w:szCs w:val="26"/>
        </w:rPr>
        <w:t>instituições financeiras</w:t>
      </w:r>
      <w:r w:rsidR="00981CCD" w:rsidRPr="00B8397F">
        <w:rPr>
          <w:sz w:val="26"/>
          <w:szCs w:val="26"/>
        </w:rPr>
        <w:t xml:space="preserve"> reguladas, o </w:t>
      </w:r>
      <w:r w:rsidR="00FB2F90" w:rsidRPr="00B8397F">
        <w:rPr>
          <w:sz w:val="26"/>
          <w:szCs w:val="26"/>
        </w:rPr>
        <w:t xml:space="preserve">Banco Central </w:t>
      </w:r>
      <w:r w:rsidR="00981CCD" w:rsidRPr="00B8397F">
        <w:rPr>
          <w:sz w:val="26"/>
          <w:szCs w:val="26"/>
        </w:rPr>
        <w:t>realiza monitoramento de diversos fluxos financeiros, especialmente os fluxos relacionados aos mercados de crédito, de títulos e valores mobiliários (inclusive derivativos), e de câmbio (incluindo fluxos de capitais estrangeiros).</w:t>
      </w: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As informações utilizadas nos processos de monitoramento do mercado de crédito são obtidas principalmente no Sistema de Informações de Crédito do </w:t>
      </w:r>
      <w:r w:rsidR="00FB2F90" w:rsidRPr="00B8397F">
        <w:rPr>
          <w:sz w:val="26"/>
          <w:szCs w:val="26"/>
        </w:rPr>
        <w:t xml:space="preserve">Banco Central </w:t>
      </w:r>
      <w:r w:rsidRPr="00B8397F">
        <w:rPr>
          <w:sz w:val="26"/>
          <w:szCs w:val="26"/>
        </w:rPr>
        <w:t xml:space="preserve">(SCR) </w:t>
      </w:r>
      <w:r w:rsidR="00C82E06" w:rsidRPr="00B8397F">
        <w:rPr>
          <w:sz w:val="26"/>
          <w:szCs w:val="26"/>
        </w:rPr>
        <w:t>fornecidas por 1.400 instituições, sobre cerca de 640 milhões de operações de crédito ativas de aproximadamente 105 milhões de clientes</w:t>
      </w:r>
      <w:r w:rsidRPr="00B8397F">
        <w:rPr>
          <w:sz w:val="26"/>
          <w:szCs w:val="26"/>
        </w:rPr>
        <w:t>. Além das instituições e conglomerados financeiros, são monitorados os devedores pessoas físicas e pessoas jurídicas (de forma individual ou em conglomerados econômicos).</w:t>
      </w: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O monitoramento de operações no mercado de títulos e valores mobiliários contempla rotinas para identificação de negócios realizados em padrões destoantes daqueles observados no mercado</w:t>
      </w:r>
      <w:r w:rsidR="00C82E06" w:rsidRPr="00B8397F">
        <w:rPr>
          <w:sz w:val="26"/>
          <w:szCs w:val="26"/>
        </w:rPr>
        <w:t>, com base em dados de Selic, Cetip</w:t>
      </w:r>
      <w:r w:rsidR="00532434">
        <w:rPr>
          <w:sz w:val="26"/>
          <w:szCs w:val="26"/>
        </w:rPr>
        <w:t xml:space="preserve"> e</w:t>
      </w:r>
      <w:r w:rsidR="00C82E06" w:rsidRPr="00B8397F">
        <w:rPr>
          <w:sz w:val="26"/>
          <w:szCs w:val="26"/>
        </w:rPr>
        <w:t xml:space="preserve"> BM&amp;F Bovespa, </w:t>
      </w:r>
      <w:r w:rsidR="004E32C8" w:rsidRPr="00B8397F">
        <w:rPr>
          <w:sz w:val="26"/>
          <w:szCs w:val="26"/>
        </w:rPr>
        <w:t>limitados àqueles de titularidade ou negociados pelas instituições financeiras</w:t>
      </w:r>
      <w:r w:rsidRPr="00B8397F">
        <w:rPr>
          <w:sz w:val="26"/>
          <w:szCs w:val="26"/>
        </w:rPr>
        <w:t>.</w:t>
      </w: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O monitoramento das operações de câmbio tem por objetivo analisar as informações recebidas sobre as operações realizadas pelos agentes autorizados a operar em câmbio, em moeda estrangeira ou via transferências internacionais em reais. A análise visa identificar inconsistências, irregularidade</w:t>
      </w:r>
      <w:r w:rsidR="00532434">
        <w:rPr>
          <w:sz w:val="26"/>
          <w:szCs w:val="26"/>
        </w:rPr>
        <w:t xml:space="preserve">s e </w:t>
      </w:r>
      <w:r w:rsidRPr="00B8397F">
        <w:rPr>
          <w:sz w:val="26"/>
          <w:szCs w:val="26"/>
        </w:rPr>
        <w:t>operações atípicas</w:t>
      </w:r>
      <w:r w:rsidR="004E32C8" w:rsidRPr="00B8397F">
        <w:rPr>
          <w:sz w:val="26"/>
          <w:szCs w:val="26"/>
        </w:rPr>
        <w:t>, que são utilizadas no processo de fiscalização</w:t>
      </w:r>
      <w:r w:rsidRPr="00B8397F">
        <w:rPr>
          <w:sz w:val="26"/>
          <w:szCs w:val="26"/>
        </w:rPr>
        <w:t xml:space="preserve">, na busca contínua </w:t>
      </w:r>
      <w:r w:rsidR="00532434">
        <w:rPr>
          <w:sz w:val="26"/>
          <w:szCs w:val="26"/>
        </w:rPr>
        <w:t>por</w:t>
      </w:r>
      <w:r w:rsidRPr="00B8397F">
        <w:rPr>
          <w:sz w:val="26"/>
          <w:szCs w:val="26"/>
        </w:rPr>
        <w:t xml:space="preserve"> mitigar o risco de utilização indevida do sistema financeiro</w:t>
      </w:r>
      <w:r w:rsidR="00532434">
        <w:rPr>
          <w:sz w:val="26"/>
          <w:szCs w:val="26"/>
        </w:rPr>
        <w:t xml:space="preserve"> para fins ilícitos</w:t>
      </w:r>
      <w:r w:rsidRPr="00B8397F">
        <w:rPr>
          <w:sz w:val="26"/>
          <w:szCs w:val="26"/>
        </w:rPr>
        <w:t xml:space="preserve">. </w:t>
      </w:r>
    </w:p>
    <w:p w:rsidR="00C82E06" w:rsidRPr="00B8397F" w:rsidRDefault="00C82E06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C82E06" w:rsidRPr="00B8397F" w:rsidRDefault="00C82E06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Observo que as 189 instituições autorizadas a operar em câmbio realizam 27.800 operações/dia, ou seja, cerca de 7 milhões de operações/ano. Além dos registros dessas operações no Sistema Câmbio, o Banco Central recebe, ainda, 14 milhões de registros/ano, via arquivo mensal, relativos a operações de até USD3 mil.</w:t>
      </w: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</w:p>
    <w:p w:rsidR="00532434" w:rsidRDefault="00532434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</w:p>
    <w:p w:rsidR="007D3EB4" w:rsidRPr="00532434" w:rsidRDefault="00981CCD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  <w:r w:rsidRPr="00532434">
        <w:rPr>
          <w:b/>
          <w:sz w:val="26"/>
          <w:szCs w:val="26"/>
        </w:rPr>
        <w:t xml:space="preserve">Como resultado do monitoramento dos mercados, as situações de risco identificadas são sinalizadas aos departamentos de supervisão que, com base nessas informações, podem deflagrar ações de </w:t>
      </w:r>
      <w:r w:rsidR="00731802" w:rsidRPr="00532434">
        <w:rPr>
          <w:b/>
          <w:sz w:val="26"/>
          <w:szCs w:val="26"/>
        </w:rPr>
        <w:t>fiscalizaç</w:t>
      </w:r>
      <w:r w:rsidRPr="00532434">
        <w:rPr>
          <w:b/>
          <w:sz w:val="26"/>
          <w:szCs w:val="26"/>
        </w:rPr>
        <w:t xml:space="preserve">ão nas </w:t>
      </w:r>
      <w:r w:rsidR="00731802" w:rsidRPr="00532434">
        <w:rPr>
          <w:b/>
          <w:sz w:val="26"/>
          <w:szCs w:val="26"/>
        </w:rPr>
        <w:t>instituições</w:t>
      </w:r>
      <w:r w:rsidRPr="00532434">
        <w:rPr>
          <w:b/>
          <w:sz w:val="26"/>
          <w:szCs w:val="26"/>
        </w:rPr>
        <w:t xml:space="preserve"> envolvidas.</w:t>
      </w:r>
    </w:p>
    <w:p w:rsidR="00981CCD" w:rsidRPr="00B8397F" w:rsidRDefault="00981CCD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731802" w:rsidRPr="00B8397F" w:rsidRDefault="0073180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>Em seu processo de supervisão de PLD, que utiliza a abordagem baseada em risco, o Banco Central direciona esforços no sentido de avaliar de forma sistemática os controles internos, as políticas e os procedimentos adotados pelas entidades supervisionadas, para assegurar o cumprimento das obrigações estabelecidas em norma, notadamente em relação aos procedimentos relacionados à Política Conheça Seu Cliente e ao monitoramento, seleção, análise e comunicação de operações atípicas</w:t>
      </w:r>
      <w:r w:rsidR="001D79CC">
        <w:rPr>
          <w:sz w:val="26"/>
          <w:szCs w:val="26"/>
        </w:rPr>
        <w:t xml:space="preserve"> ao COAF</w:t>
      </w:r>
      <w:r w:rsidRPr="00B8397F">
        <w:rPr>
          <w:sz w:val="26"/>
          <w:szCs w:val="26"/>
        </w:rPr>
        <w:t xml:space="preserve">. Em resposta, as entidades integrantes do SFN investiram em sistemas, </w:t>
      </w:r>
      <w:r w:rsidR="001D79CC">
        <w:rPr>
          <w:sz w:val="26"/>
          <w:szCs w:val="26"/>
        </w:rPr>
        <w:t xml:space="preserve">e </w:t>
      </w:r>
      <w:r w:rsidRPr="00B8397F">
        <w:rPr>
          <w:sz w:val="26"/>
          <w:szCs w:val="26"/>
        </w:rPr>
        <w:t xml:space="preserve">pessoas e </w:t>
      </w:r>
      <w:r w:rsidR="001D79CC">
        <w:rPr>
          <w:sz w:val="26"/>
          <w:szCs w:val="26"/>
        </w:rPr>
        <w:t xml:space="preserve">em </w:t>
      </w:r>
      <w:r w:rsidRPr="00B8397F">
        <w:rPr>
          <w:sz w:val="26"/>
          <w:szCs w:val="26"/>
        </w:rPr>
        <w:t xml:space="preserve">tecnologia para a implantação de rotinas de PLD, </w:t>
      </w:r>
      <w:r w:rsidRPr="001D79CC">
        <w:rPr>
          <w:b/>
          <w:sz w:val="26"/>
          <w:szCs w:val="26"/>
        </w:rPr>
        <w:t>das quais resultam dezenas de milhares de comunicações anuais ao Coaf.</w:t>
      </w:r>
    </w:p>
    <w:p w:rsidR="00E814AE" w:rsidRPr="00B8397F" w:rsidRDefault="00E814AE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731802" w:rsidRPr="00B8397F" w:rsidRDefault="0073180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 w:rsidRPr="00B8397F">
        <w:rPr>
          <w:sz w:val="26"/>
          <w:szCs w:val="26"/>
        </w:rPr>
        <w:t xml:space="preserve">Assim, o efeito alcançado pelas ações de supervisão do Banco Central para que as entidades supervisionadas cumpram seu dever de monitorar e </w:t>
      </w:r>
      <w:r w:rsidR="001D79CC">
        <w:rPr>
          <w:sz w:val="26"/>
          <w:szCs w:val="26"/>
        </w:rPr>
        <w:t xml:space="preserve">de </w:t>
      </w:r>
      <w:r w:rsidRPr="00B8397F">
        <w:rPr>
          <w:sz w:val="26"/>
          <w:szCs w:val="26"/>
        </w:rPr>
        <w:t>comunicar</w:t>
      </w:r>
      <w:r w:rsidR="001D79CC">
        <w:rPr>
          <w:sz w:val="26"/>
          <w:szCs w:val="26"/>
        </w:rPr>
        <w:t xml:space="preserve"> ao COAF</w:t>
      </w:r>
      <w:r w:rsidRPr="00B8397F">
        <w:rPr>
          <w:sz w:val="26"/>
          <w:szCs w:val="26"/>
        </w:rPr>
        <w:t xml:space="preserve"> operações suspeitas possibilita que os órgãos de inteligência financeira e de persecução criminal disponham de informações abrangentes oriundas de múltiplas fontes para combater o crime de lavagem de dinheiro e as demais condutas ilícitas a ele associadas.</w:t>
      </w:r>
    </w:p>
    <w:p w:rsidR="00731802" w:rsidRPr="00B8397F" w:rsidRDefault="00731802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731802" w:rsidRPr="001D79CC" w:rsidRDefault="00731802" w:rsidP="00B8397F">
      <w:pPr>
        <w:pStyle w:val="PargrafodaLista"/>
        <w:spacing w:line="360" w:lineRule="auto"/>
        <w:ind w:left="0"/>
        <w:jc w:val="both"/>
        <w:rPr>
          <w:b/>
          <w:sz w:val="26"/>
          <w:szCs w:val="26"/>
        </w:rPr>
      </w:pPr>
      <w:r w:rsidRPr="00B8397F">
        <w:rPr>
          <w:sz w:val="26"/>
          <w:szCs w:val="26"/>
        </w:rPr>
        <w:t xml:space="preserve">Dessa forma, </w:t>
      </w:r>
      <w:r w:rsidR="00E814AE" w:rsidRPr="00B8397F">
        <w:rPr>
          <w:sz w:val="26"/>
          <w:szCs w:val="26"/>
        </w:rPr>
        <w:t xml:space="preserve">as instituições supervisionadas pelo Banco Central realizaram, de 1998 a 2016, </w:t>
      </w:r>
      <w:r w:rsidR="00E814AE" w:rsidRPr="001D79CC">
        <w:rPr>
          <w:b/>
          <w:sz w:val="26"/>
          <w:szCs w:val="26"/>
        </w:rPr>
        <w:t>quase 8 milhões de comunicações de operações ao Coaf</w:t>
      </w:r>
      <w:r w:rsidR="00E814AE" w:rsidRPr="00B8397F">
        <w:rPr>
          <w:sz w:val="26"/>
          <w:szCs w:val="26"/>
        </w:rPr>
        <w:t xml:space="preserve">, das quais 670 mil relacionadas a operações ou situações atípicas, e </w:t>
      </w:r>
      <w:r w:rsidR="00E814AE" w:rsidRPr="001D79CC">
        <w:rPr>
          <w:b/>
          <w:sz w:val="26"/>
          <w:szCs w:val="26"/>
        </w:rPr>
        <w:t xml:space="preserve">7,3 milhões a operações em espécie acima de R$ 100 mil. </w:t>
      </w:r>
    </w:p>
    <w:p w:rsidR="00102527" w:rsidRPr="00B8397F" w:rsidRDefault="00102527" w:rsidP="00B8397F">
      <w:pPr>
        <w:spacing w:line="360" w:lineRule="auto"/>
        <w:rPr>
          <w:sz w:val="26"/>
          <w:szCs w:val="26"/>
        </w:rPr>
      </w:pPr>
    </w:p>
    <w:p w:rsidR="001D79CC" w:rsidRDefault="001D79CC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423F05" w:rsidRDefault="00423F05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E814AE" w:rsidRDefault="001D79CC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Finalmente, digo </w:t>
      </w:r>
      <w:r w:rsidRPr="00B8397F">
        <w:rPr>
          <w:sz w:val="26"/>
          <w:szCs w:val="26"/>
        </w:rPr>
        <w:t>essa abordagem</w:t>
      </w:r>
      <w:r>
        <w:rPr>
          <w:sz w:val="26"/>
          <w:szCs w:val="26"/>
        </w:rPr>
        <w:t>, que está ali</w:t>
      </w:r>
      <w:r w:rsidR="00E814AE" w:rsidRPr="00B8397F">
        <w:rPr>
          <w:sz w:val="26"/>
          <w:szCs w:val="26"/>
        </w:rPr>
        <w:t xml:space="preserve">nhada aos padrões internacionais, </w:t>
      </w:r>
      <w:r>
        <w:rPr>
          <w:sz w:val="26"/>
          <w:szCs w:val="26"/>
        </w:rPr>
        <w:t>tem</w:t>
      </w:r>
      <w:r w:rsidR="00E814AE" w:rsidRPr="00B8397F">
        <w:rPr>
          <w:sz w:val="26"/>
          <w:szCs w:val="26"/>
        </w:rPr>
        <w:t xml:space="preserve">-se </w:t>
      </w:r>
      <w:r>
        <w:rPr>
          <w:sz w:val="26"/>
          <w:szCs w:val="26"/>
        </w:rPr>
        <w:t xml:space="preserve">mostrado </w:t>
      </w:r>
      <w:r w:rsidR="00E814AE" w:rsidRPr="00B8397F">
        <w:rPr>
          <w:sz w:val="26"/>
          <w:szCs w:val="26"/>
        </w:rPr>
        <w:t>bem sucedida</w:t>
      </w:r>
      <w:r w:rsidR="00C736CD" w:rsidRPr="00B8397F">
        <w:rPr>
          <w:sz w:val="26"/>
          <w:szCs w:val="26"/>
        </w:rPr>
        <w:t>,</w:t>
      </w:r>
      <w:r w:rsidR="00E814AE" w:rsidRPr="00B8397F">
        <w:rPr>
          <w:sz w:val="26"/>
          <w:szCs w:val="26"/>
        </w:rPr>
        <w:t xml:space="preserve"> uma vez que muitas investigações </w:t>
      </w:r>
      <w:r>
        <w:rPr>
          <w:sz w:val="26"/>
          <w:szCs w:val="26"/>
        </w:rPr>
        <w:t xml:space="preserve">hoje em curso </w:t>
      </w:r>
      <w:r w:rsidR="00E814AE" w:rsidRPr="00B8397F">
        <w:rPr>
          <w:sz w:val="26"/>
          <w:szCs w:val="26"/>
        </w:rPr>
        <w:t xml:space="preserve">tiveram origem em comunicações </w:t>
      </w:r>
      <w:r w:rsidRPr="00B8397F">
        <w:rPr>
          <w:sz w:val="26"/>
          <w:szCs w:val="26"/>
        </w:rPr>
        <w:t>a</w:t>
      </w:r>
      <w:r>
        <w:rPr>
          <w:sz w:val="26"/>
          <w:szCs w:val="26"/>
        </w:rPr>
        <w:t>o Coaf</w:t>
      </w:r>
      <w:r w:rsidRPr="00B8397F">
        <w:rPr>
          <w:sz w:val="26"/>
          <w:szCs w:val="26"/>
        </w:rPr>
        <w:t xml:space="preserve"> </w:t>
      </w:r>
      <w:r w:rsidR="00E814AE" w:rsidRPr="00B8397F">
        <w:rPr>
          <w:sz w:val="26"/>
          <w:szCs w:val="26"/>
        </w:rPr>
        <w:t>realizadas p</w:t>
      </w:r>
      <w:r>
        <w:rPr>
          <w:sz w:val="26"/>
          <w:szCs w:val="26"/>
        </w:rPr>
        <w:t>or</w:t>
      </w:r>
      <w:r w:rsidR="00E814AE" w:rsidRPr="00B8397F">
        <w:rPr>
          <w:sz w:val="26"/>
          <w:szCs w:val="26"/>
        </w:rPr>
        <w:t xml:space="preserve"> </w:t>
      </w:r>
      <w:r>
        <w:rPr>
          <w:sz w:val="26"/>
          <w:szCs w:val="26"/>
        </w:rPr>
        <w:t>instituições supervisionadas</w:t>
      </w:r>
      <w:r w:rsidR="00E814AE" w:rsidRPr="00B8397F">
        <w:rPr>
          <w:sz w:val="26"/>
          <w:szCs w:val="26"/>
        </w:rPr>
        <w:t xml:space="preserve"> pelo Banco Central</w:t>
      </w:r>
      <w:r w:rsidR="00423F05">
        <w:rPr>
          <w:sz w:val="26"/>
          <w:szCs w:val="26"/>
        </w:rPr>
        <w:t>,</w:t>
      </w:r>
      <w:r w:rsidR="00E814AE" w:rsidRPr="00B8397F">
        <w:rPr>
          <w:sz w:val="26"/>
          <w:szCs w:val="26"/>
        </w:rPr>
        <w:t xml:space="preserve"> na forma da regulamentação em vigor.</w:t>
      </w:r>
    </w:p>
    <w:p w:rsidR="003C430E" w:rsidRDefault="003C430E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</w:p>
    <w:p w:rsidR="00423F05" w:rsidRPr="00B8397F" w:rsidRDefault="00423F05" w:rsidP="00B8397F">
      <w:pPr>
        <w:pStyle w:val="PargrafodaLista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Obrigada</w:t>
      </w:r>
      <w:r w:rsidR="003C430E">
        <w:rPr>
          <w:sz w:val="26"/>
          <w:szCs w:val="26"/>
        </w:rPr>
        <w:t xml:space="preserve"> pela atenção de V. EXAS</w:t>
      </w:r>
      <w:r>
        <w:rPr>
          <w:sz w:val="26"/>
          <w:szCs w:val="26"/>
        </w:rPr>
        <w:t>.</w:t>
      </w:r>
    </w:p>
    <w:p w:rsidR="00E814AE" w:rsidRPr="00B8397F" w:rsidRDefault="00E814AE" w:rsidP="00B8397F">
      <w:pPr>
        <w:spacing w:line="360" w:lineRule="auto"/>
        <w:rPr>
          <w:sz w:val="26"/>
          <w:szCs w:val="26"/>
        </w:rPr>
      </w:pPr>
    </w:p>
    <w:p w:rsidR="00B8397F" w:rsidRPr="00B8397F" w:rsidRDefault="00B8397F">
      <w:pPr>
        <w:spacing w:line="360" w:lineRule="auto"/>
        <w:rPr>
          <w:sz w:val="26"/>
          <w:szCs w:val="26"/>
        </w:rPr>
      </w:pPr>
    </w:p>
    <w:sectPr w:rsidR="00B8397F" w:rsidRPr="00B8397F" w:rsidSect="00EF369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E030C"/>
    <w:multiLevelType w:val="hybridMultilevel"/>
    <w:tmpl w:val="4618878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2F"/>
    <w:rsid w:val="000339FB"/>
    <w:rsid w:val="00036153"/>
    <w:rsid w:val="00102527"/>
    <w:rsid w:val="001154F5"/>
    <w:rsid w:val="001D79CC"/>
    <w:rsid w:val="002921A3"/>
    <w:rsid w:val="00307749"/>
    <w:rsid w:val="00380D94"/>
    <w:rsid w:val="003C430E"/>
    <w:rsid w:val="00423F05"/>
    <w:rsid w:val="004E32C8"/>
    <w:rsid w:val="00532434"/>
    <w:rsid w:val="00664518"/>
    <w:rsid w:val="0070192D"/>
    <w:rsid w:val="00731802"/>
    <w:rsid w:val="00767D70"/>
    <w:rsid w:val="007D3EB4"/>
    <w:rsid w:val="00981CCD"/>
    <w:rsid w:val="009A1C7C"/>
    <w:rsid w:val="00A401C3"/>
    <w:rsid w:val="00AE4E5A"/>
    <w:rsid w:val="00B8397F"/>
    <w:rsid w:val="00BA75F6"/>
    <w:rsid w:val="00C736CD"/>
    <w:rsid w:val="00C82E06"/>
    <w:rsid w:val="00C94153"/>
    <w:rsid w:val="00CB762F"/>
    <w:rsid w:val="00CE06BA"/>
    <w:rsid w:val="00D025A0"/>
    <w:rsid w:val="00DE23A2"/>
    <w:rsid w:val="00E814AE"/>
    <w:rsid w:val="00E86102"/>
    <w:rsid w:val="00EF3691"/>
    <w:rsid w:val="00F51C40"/>
    <w:rsid w:val="00F552EB"/>
    <w:rsid w:val="00FB2F90"/>
    <w:rsid w:val="00F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EEE3"/>
  <w15:chartTrackingRefBased/>
  <w15:docId w15:val="{E8BCA4EA-F3D8-41BF-A0E7-AC9CDAC3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CB762F"/>
    <w:rPr>
      <w:rFonts w:ascii="Calibri" w:hAnsi="Calibri" w:cs="Calibri"/>
    </w:rPr>
  </w:style>
  <w:style w:type="paragraph" w:styleId="PargrafodaLista">
    <w:name w:val="List Paragraph"/>
    <w:basedOn w:val="Normal"/>
    <w:link w:val="PargrafodaListaChar"/>
    <w:uiPriority w:val="34"/>
    <w:qFormat/>
    <w:rsid w:val="00CB762F"/>
    <w:pPr>
      <w:ind w:left="720"/>
    </w:pPr>
    <w:rPr>
      <w:rFonts w:ascii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0361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61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61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1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15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1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153"/>
    <w:rPr>
      <w:rFonts w:ascii="Segoe UI" w:hAnsi="Segoe UI" w:cs="Segoe UI"/>
      <w:sz w:val="18"/>
      <w:szCs w:val="18"/>
    </w:rPr>
  </w:style>
  <w:style w:type="character" w:customStyle="1" w:styleId="spelle">
    <w:name w:val="spelle"/>
    <w:basedOn w:val="Fontepargpadro"/>
    <w:rsid w:val="00B8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37201-BF73-48A9-B685-FB46B54D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1868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do Brasil</Company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Juan Ferreiro Cunha</dc:creator>
  <cp:keywords/>
  <dc:description/>
  <cp:lastModifiedBy>Andreia Lais de Melo Silva Vargas</cp:lastModifiedBy>
  <cp:revision>10</cp:revision>
  <dcterms:created xsi:type="dcterms:W3CDTF">2017-05-09T19:48:00Z</dcterms:created>
  <dcterms:modified xsi:type="dcterms:W3CDTF">2017-05-09T20:36:00Z</dcterms:modified>
</cp:coreProperties>
</file>