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885" w:rsidRDefault="00791885" w:rsidP="007D203B">
      <w:pPr>
        <w:ind w:left="0" w:firstLine="851"/>
        <w:rPr>
          <w:sz w:val="36"/>
          <w:szCs w:val="36"/>
        </w:rPr>
      </w:pPr>
    </w:p>
    <w:p w:rsidR="0019502E" w:rsidRPr="00791885" w:rsidRDefault="007D203B" w:rsidP="00791885">
      <w:pPr>
        <w:ind w:left="567" w:right="991"/>
        <w:rPr>
          <w:b/>
          <w:sz w:val="52"/>
          <w:szCs w:val="52"/>
        </w:rPr>
      </w:pPr>
      <w:r w:rsidRPr="00791885">
        <w:rPr>
          <w:b/>
          <w:sz w:val="52"/>
          <w:szCs w:val="52"/>
        </w:rPr>
        <w:t>SÍNTESE</w:t>
      </w:r>
      <w:r w:rsidR="00791885" w:rsidRPr="00791885">
        <w:rPr>
          <w:b/>
          <w:sz w:val="52"/>
          <w:szCs w:val="52"/>
        </w:rPr>
        <w:t xml:space="preserve"> DA </w:t>
      </w:r>
      <w:r w:rsidRPr="00791885">
        <w:rPr>
          <w:b/>
          <w:sz w:val="52"/>
          <w:szCs w:val="52"/>
        </w:rPr>
        <w:t>EXPOSIÇÃO</w:t>
      </w:r>
      <w:r w:rsidR="00791885" w:rsidRPr="00791885">
        <w:rPr>
          <w:b/>
          <w:sz w:val="52"/>
          <w:szCs w:val="52"/>
        </w:rPr>
        <w:t xml:space="preserve"> </w:t>
      </w:r>
      <w:r w:rsidRPr="00791885">
        <w:rPr>
          <w:b/>
          <w:sz w:val="52"/>
          <w:szCs w:val="52"/>
        </w:rPr>
        <w:t>SOBRE A</w:t>
      </w:r>
      <w:proofErr w:type="gramStart"/>
      <w:r w:rsidRPr="00791885">
        <w:rPr>
          <w:b/>
          <w:sz w:val="52"/>
          <w:szCs w:val="52"/>
        </w:rPr>
        <w:t xml:space="preserve">  </w:t>
      </w:r>
      <w:proofErr w:type="gramEnd"/>
      <w:r w:rsidRPr="00791885">
        <w:rPr>
          <w:b/>
          <w:sz w:val="52"/>
          <w:szCs w:val="52"/>
        </w:rPr>
        <w:t>RESOLUÇÃO</w:t>
      </w:r>
      <w:r w:rsidR="0019502E" w:rsidRPr="00791885">
        <w:rPr>
          <w:b/>
          <w:sz w:val="52"/>
          <w:szCs w:val="52"/>
        </w:rPr>
        <w:t xml:space="preserve"> </w:t>
      </w:r>
      <w:r w:rsidRPr="00791885">
        <w:rPr>
          <w:b/>
          <w:sz w:val="52"/>
          <w:szCs w:val="52"/>
        </w:rPr>
        <w:t xml:space="preserve"> CGPC 26/08</w:t>
      </w:r>
      <w:r w:rsidR="0019502E" w:rsidRPr="00791885">
        <w:rPr>
          <w:b/>
          <w:sz w:val="52"/>
          <w:szCs w:val="52"/>
        </w:rPr>
        <w:t xml:space="preserve"> </w:t>
      </w:r>
      <w:r w:rsidRPr="00791885">
        <w:rPr>
          <w:b/>
          <w:sz w:val="52"/>
          <w:szCs w:val="52"/>
        </w:rPr>
        <w:t xml:space="preserve"> </w:t>
      </w:r>
    </w:p>
    <w:p w:rsidR="007D203B" w:rsidRPr="00791885" w:rsidRDefault="007D203B" w:rsidP="007D203B">
      <w:pPr>
        <w:ind w:left="0" w:firstLine="851"/>
        <w:rPr>
          <w:sz w:val="48"/>
          <w:szCs w:val="48"/>
          <w:u w:val="single"/>
        </w:rPr>
      </w:pPr>
      <w:r w:rsidRPr="00791885">
        <w:rPr>
          <w:sz w:val="48"/>
          <w:szCs w:val="48"/>
          <w:u w:val="single"/>
        </w:rPr>
        <w:t>NA CAE DO SENADO EM 02.07.2014</w:t>
      </w:r>
    </w:p>
    <w:p w:rsidR="002A1CAD" w:rsidRPr="00973025" w:rsidRDefault="002A1CAD" w:rsidP="007D203B">
      <w:pPr>
        <w:ind w:left="0" w:firstLine="851"/>
        <w:rPr>
          <w:sz w:val="36"/>
          <w:szCs w:val="36"/>
          <w:u w:val="single"/>
        </w:rPr>
      </w:pPr>
    </w:p>
    <w:p w:rsidR="0019502E" w:rsidRPr="00973025" w:rsidRDefault="0019502E" w:rsidP="007D203B">
      <w:pPr>
        <w:ind w:left="0" w:firstLine="851"/>
        <w:rPr>
          <w:sz w:val="36"/>
          <w:szCs w:val="36"/>
          <w:u w:val="single"/>
        </w:rPr>
      </w:pPr>
    </w:p>
    <w:p w:rsidR="002A1CAD" w:rsidRPr="00973025" w:rsidRDefault="002A1CAD" w:rsidP="002A1CAD">
      <w:pPr>
        <w:ind w:left="0" w:firstLine="1701"/>
        <w:rPr>
          <w:sz w:val="36"/>
          <w:szCs w:val="36"/>
        </w:rPr>
      </w:pPr>
      <w:bookmarkStart w:id="0" w:name="_GoBack"/>
      <w:r w:rsidRPr="007706F6">
        <w:rPr>
          <w:rFonts w:ascii="Times New Roman" w:hAnsi="Times New Roman" w:cs="Times New Roman"/>
          <w:sz w:val="36"/>
          <w:szCs w:val="36"/>
        </w:rPr>
        <w:t xml:space="preserve">Senhor Presidente, </w:t>
      </w:r>
      <w:proofErr w:type="gramStart"/>
      <w:r w:rsidRPr="007706F6">
        <w:rPr>
          <w:rFonts w:ascii="Times New Roman" w:hAnsi="Times New Roman" w:cs="Times New Roman"/>
          <w:sz w:val="36"/>
          <w:szCs w:val="36"/>
        </w:rPr>
        <w:t>Senador ...</w:t>
      </w:r>
      <w:proofErr w:type="gramEnd"/>
      <w:r w:rsidRPr="007706F6">
        <w:rPr>
          <w:rFonts w:ascii="Times New Roman" w:hAnsi="Times New Roman" w:cs="Times New Roman"/>
          <w:sz w:val="36"/>
          <w:szCs w:val="36"/>
        </w:rPr>
        <w:t>.., e por intermédio</w:t>
      </w:r>
      <w:r w:rsidRPr="00973025">
        <w:rPr>
          <w:sz w:val="36"/>
          <w:szCs w:val="36"/>
        </w:rPr>
        <w:t xml:space="preserve"> </w:t>
      </w:r>
      <w:bookmarkEnd w:id="0"/>
      <w:r w:rsidRPr="00973025">
        <w:rPr>
          <w:sz w:val="36"/>
          <w:szCs w:val="36"/>
        </w:rPr>
        <w:t>de Vossa Excelência saudamos</w:t>
      </w:r>
      <w:r w:rsidR="00B87705" w:rsidRPr="00973025">
        <w:rPr>
          <w:sz w:val="36"/>
          <w:szCs w:val="36"/>
        </w:rPr>
        <w:t xml:space="preserve"> e agradecemos a presença das senhoras e senhores </w:t>
      </w:r>
      <w:r w:rsidR="00DC312A" w:rsidRPr="00973025">
        <w:rPr>
          <w:sz w:val="36"/>
          <w:szCs w:val="36"/>
        </w:rPr>
        <w:t xml:space="preserve"> parlamentares,  e demais autoridades, ass</w:t>
      </w:r>
      <w:r w:rsidR="00B87705" w:rsidRPr="00973025">
        <w:rPr>
          <w:sz w:val="36"/>
          <w:szCs w:val="36"/>
        </w:rPr>
        <w:t>im como a todos os interessados aqui presentes</w:t>
      </w:r>
      <w:r w:rsidR="00DC312A" w:rsidRPr="00973025">
        <w:rPr>
          <w:sz w:val="36"/>
          <w:szCs w:val="36"/>
        </w:rPr>
        <w:t>.</w:t>
      </w:r>
    </w:p>
    <w:p w:rsidR="00431796" w:rsidRPr="00973025" w:rsidRDefault="00DC312A" w:rsidP="002A1CAD">
      <w:pPr>
        <w:ind w:left="0" w:firstLine="1701"/>
        <w:rPr>
          <w:sz w:val="36"/>
          <w:szCs w:val="36"/>
        </w:rPr>
      </w:pPr>
      <w:r w:rsidRPr="00973025">
        <w:rPr>
          <w:sz w:val="36"/>
          <w:szCs w:val="36"/>
        </w:rPr>
        <w:t xml:space="preserve">Agradecemos </w:t>
      </w:r>
      <w:r w:rsidR="00E715D0" w:rsidRPr="00973025">
        <w:rPr>
          <w:sz w:val="36"/>
          <w:szCs w:val="36"/>
        </w:rPr>
        <w:t xml:space="preserve">aos dirigentes da AFAB </w:t>
      </w:r>
      <w:r w:rsidR="00492D94" w:rsidRPr="00973025">
        <w:rPr>
          <w:sz w:val="36"/>
          <w:szCs w:val="36"/>
        </w:rPr>
        <w:t>a honrosa indicação para representá-la</w:t>
      </w:r>
      <w:r w:rsidR="007B3BD3" w:rsidRPr="00973025">
        <w:rPr>
          <w:sz w:val="36"/>
          <w:szCs w:val="36"/>
        </w:rPr>
        <w:t>,</w:t>
      </w:r>
      <w:r w:rsidR="00492D94" w:rsidRPr="00973025">
        <w:rPr>
          <w:sz w:val="36"/>
          <w:szCs w:val="36"/>
        </w:rPr>
        <w:t xml:space="preserve"> além de falarmos pela AAPBB</w:t>
      </w:r>
      <w:r w:rsidR="00F649E5" w:rsidRPr="00973025">
        <w:rPr>
          <w:sz w:val="36"/>
          <w:szCs w:val="36"/>
        </w:rPr>
        <w:t xml:space="preserve"> </w:t>
      </w:r>
      <w:r w:rsidR="00492D94" w:rsidRPr="00973025">
        <w:rPr>
          <w:sz w:val="36"/>
          <w:szCs w:val="36"/>
        </w:rPr>
        <w:t xml:space="preserve">e pela </w:t>
      </w:r>
      <w:r w:rsidR="00E715D0" w:rsidRPr="00973025">
        <w:rPr>
          <w:sz w:val="36"/>
          <w:szCs w:val="36"/>
        </w:rPr>
        <w:t>UNAMIBB</w:t>
      </w:r>
      <w:r w:rsidR="00492D94" w:rsidRPr="00973025">
        <w:rPr>
          <w:sz w:val="36"/>
          <w:szCs w:val="36"/>
        </w:rPr>
        <w:t>. Agradecemos,</w:t>
      </w:r>
      <w:r w:rsidR="00442312" w:rsidRPr="00973025">
        <w:rPr>
          <w:sz w:val="36"/>
          <w:szCs w:val="36"/>
        </w:rPr>
        <w:t xml:space="preserve"> </w:t>
      </w:r>
      <w:r w:rsidRPr="00973025">
        <w:rPr>
          <w:sz w:val="36"/>
          <w:szCs w:val="36"/>
        </w:rPr>
        <w:t>especialmente</w:t>
      </w:r>
      <w:r w:rsidR="00492D94" w:rsidRPr="00973025">
        <w:rPr>
          <w:sz w:val="36"/>
          <w:szCs w:val="36"/>
        </w:rPr>
        <w:t>,</w:t>
      </w:r>
      <w:r w:rsidRPr="00973025">
        <w:rPr>
          <w:sz w:val="36"/>
          <w:szCs w:val="36"/>
        </w:rPr>
        <w:t xml:space="preserve"> ao Senador Paulo Bauer, autor do PDS 275/2012</w:t>
      </w:r>
      <w:r w:rsidR="00DB4B2E" w:rsidRPr="00973025">
        <w:rPr>
          <w:sz w:val="36"/>
          <w:szCs w:val="36"/>
        </w:rPr>
        <w:t xml:space="preserve">, e do requerimento </w:t>
      </w:r>
      <w:r w:rsidR="007A78F6" w:rsidRPr="00973025">
        <w:rPr>
          <w:sz w:val="36"/>
          <w:szCs w:val="36"/>
        </w:rPr>
        <w:t xml:space="preserve">postulando </w:t>
      </w:r>
      <w:r w:rsidR="00DB4B2E" w:rsidRPr="00973025">
        <w:rPr>
          <w:sz w:val="36"/>
          <w:szCs w:val="36"/>
        </w:rPr>
        <w:t xml:space="preserve">a realização desta Audiência Pública. </w:t>
      </w:r>
      <w:r w:rsidR="00492D94" w:rsidRPr="00973025">
        <w:rPr>
          <w:sz w:val="36"/>
          <w:szCs w:val="36"/>
        </w:rPr>
        <w:t>Todos contribuíram para que aqui e agora pudéssemos tratar da</w:t>
      </w:r>
      <w:r w:rsidR="00641C78" w:rsidRPr="00973025">
        <w:rPr>
          <w:sz w:val="36"/>
          <w:szCs w:val="36"/>
        </w:rPr>
        <w:t xml:space="preserve"> </w:t>
      </w:r>
      <w:proofErr w:type="gramStart"/>
      <w:r w:rsidR="00641C78" w:rsidRPr="00973025">
        <w:rPr>
          <w:sz w:val="36"/>
          <w:szCs w:val="36"/>
        </w:rPr>
        <w:t>a</w:t>
      </w:r>
      <w:proofErr w:type="gramEnd"/>
      <w:r w:rsidR="007856BE" w:rsidRPr="00973025">
        <w:rPr>
          <w:sz w:val="36"/>
          <w:szCs w:val="36"/>
        </w:rPr>
        <w:t xml:space="preserve"> inspiração</w:t>
      </w:r>
      <w:r w:rsidR="00641C78" w:rsidRPr="00973025">
        <w:rPr>
          <w:sz w:val="36"/>
          <w:szCs w:val="36"/>
        </w:rPr>
        <w:t xml:space="preserve"> </w:t>
      </w:r>
      <w:r w:rsidR="00F17103" w:rsidRPr="00973025">
        <w:rPr>
          <w:sz w:val="36"/>
          <w:szCs w:val="36"/>
        </w:rPr>
        <w:t>anti-republicana</w:t>
      </w:r>
      <w:r w:rsidR="007856BE" w:rsidRPr="00973025">
        <w:rPr>
          <w:sz w:val="36"/>
          <w:szCs w:val="36"/>
        </w:rPr>
        <w:t xml:space="preserve"> da</w:t>
      </w:r>
      <w:r w:rsidR="00F17103" w:rsidRPr="00973025">
        <w:rPr>
          <w:sz w:val="36"/>
          <w:szCs w:val="36"/>
        </w:rPr>
        <w:t xml:space="preserve"> </w:t>
      </w:r>
      <w:r w:rsidR="00243970" w:rsidRPr="00973025">
        <w:rPr>
          <w:sz w:val="36"/>
          <w:szCs w:val="36"/>
        </w:rPr>
        <w:t xml:space="preserve"> “reversão de valores”</w:t>
      </w:r>
      <w:r w:rsidR="00327EE5" w:rsidRPr="00973025">
        <w:rPr>
          <w:sz w:val="36"/>
          <w:szCs w:val="36"/>
        </w:rPr>
        <w:t xml:space="preserve"> para a empresa patrocinadora</w:t>
      </w:r>
      <w:r w:rsidR="00F17103" w:rsidRPr="00973025">
        <w:rPr>
          <w:sz w:val="36"/>
          <w:szCs w:val="36"/>
        </w:rPr>
        <w:t xml:space="preserve">, </w:t>
      </w:r>
      <w:r w:rsidR="00964A92" w:rsidRPr="00973025">
        <w:rPr>
          <w:sz w:val="36"/>
          <w:szCs w:val="36"/>
        </w:rPr>
        <w:t>um</w:t>
      </w:r>
      <w:r w:rsidR="007856BE" w:rsidRPr="00973025">
        <w:rPr>
          <w:sz w:val="36"/>
          <w:szCs w:val="36"/>
        </w:rPr>
        <w:t xml:space="preserve">a anomalia </w:t>
      </w:r>
      <w:r w:rsidR="00DA7111" w:rsidRPr="00973025">
        <w:rPr>
          <w:sz w:val="36"/>
          <w:szCs w:val="36"/>
        </w:rPr>
        <w:t xml:space="preserve"> inserida na Resolução CGPC 26/08, </w:t>
      </w:r>
      <w:r w:rsidR="00431796" w:rsidRPr="00973025">
        <w:rPr>
          <w:sz w:val="36"/>
          <w:szCs w:val="36"/>
        </w:rPr>
        <w:t xml:space="preserve">deformadora </w:t>
      </w:r>
      <w:r w:rsidR="000077BE" w:rsidRPr="00973025">
        <w:rPr>
          <w:sz w:val="36"/>
          <w:szCs w:val="36"/>
        </w:rPr>
        <w:t>d</w:t>
      </w:r>
      <w:r w:rsidR="007856BE" w:rsidRPr="00973025">
        <w:rPr>
          <w:sz w:val="36"/>
          <w:szCs w:val="36"/>
        </w:rPr>
        <w:t>a relação contratual entre a entidade fechada</w:t>
      </w:r>
      <w:r w:rsidR="00933114" w:rsidRPr="00973025">
        <w:rPr>
          <w:sz w:val="36"/>
          <w:szCs w:val="36"/>
        </w:rPr>
        <w:t xml:space="preserve"> e</w:t>
      </w:r>
      <w:r w:rsidR="007856BE" w:rsidRPr="00973025">
        <w:rPr>
          <w:sz w:val="36"/>
          <w:szCs w:val="36"/>
        </w:rPr>
        <w:t xml:space="preserve"> os participantes ativos, aposentados e pensionistas</w:t>
      </w:r>
      <w:r w:rsidR="00933114" w:rsidRPr="00973025">
        <w:rPr>
          <w:sz w:val="36"/>
          <w:szCs w:val="36"/>
        </w:rPr>
        <w:t xml:space="preserve"> -, os únicos e verdadeiros destinatários do patrimônio acumulado pelo Plano de Benefícios</w:t>
      </w:r>
      <w:r w:rsidR="00761A0E" w:rsidRPr="00973025">
        <w:rPr>
          <w:sz w:val="36"/>
          <w:szCs w:val="36"/>
        </w:rPr>
        <w:t>, onde a fidúcia é</w:t>
      </w:r>
      <w:r w:rsidR="00DA7111" w:rsidRPr="00973025">
        <w:rPr>
          <w:sz w:val="36"/>
          <w:szCs w:val="36"/>
        </w:rPr>
        <w:t xml:space="preserve"> necessária e</w:t>
      </w:r>
      <w:r w:rsidR="00761A0E" w:rsidRPr="00973025">
        <w:rPr>
          <w:sz w:val="36"/>
          <w:szCs w:val="36"/>
        </w:rPr>
        <w:t xml:space="preserve"> </w:t>
      </w:r>
      <w:r w:rsidR="00431796" w:rsidRPr="00973025">
        <w:rPr>
          <w:sz w:val="36"/>
          <w:szCs w:val="36"/>
        </w:rPr>
        <w:t>indispensável.</w:t>
      </w:r>
    </w:p>
    <w:p w:rsidR="00797531" w:rsidRPr="00973025" w:rsidRDefault="0007707C" w:rsidP="002A1CAD">
      <w:pPr>
        <w:ind w:left="0" w:firstLine="1701"/>
        <w:rPr>
          <w:sz w:val="36"/>
          <w:szCs w:val="36"/>
        </w:rPr>
      </w:pPr>
      <w:r w:rsidRPr="00973025">
        <w:rPr>
          <w:sz w:val="36"/>
          <w:szCs w:val="36"/>
        </w:rPr>
        <w:t>Eis porque</w:t>
      </w:r>
      <w:proofErr w:type="gramStart"/>
      <w:r w:rsidRPr="00973025">
        <w:rPr>
          <w:sz w:val="36"/>
          <w:szCs w:val="36"/>
        </w:rPr>
        <w:t xml:space="preserve">  </w:t>
      </w:r>
      <w:proofErr w:type="gramEnd"/>
      <w:r w:rsidRPr="00973025">
        <w:rPr>
          <w:sz w:val="36"/>
          <w:szCs w:val="36"/>
        </w:rPr>
        <w:t>se pode afirmar</w:t>
      </w:r>
      <w:r w:rsidR="00797531" w:rsidRPr="00973025">
        <w:rPr>
          <w:sz w:val="36"/>
          <w:szCs w:val="36"/>
        </w:rPr>
        <w:t xml:space="preserve"> </w:t>
      </w:r>
      <w:r w:rsidR="00180C29" w:rsidRPr="00973025">
        <w:rPr>
          <w:sz w:val="36"/>
          <w:szCs w:val="36"/>
        </w:rPr>
        <w:t>que</w:t>
      </w:r>
      <w:r w:rsidR="0044719A" w:rsidRPr="00973025">
        <w:rPr>
          <w:sz w:val="36"/>
          <w:szCs w:val="36"/>
        </w:rPr>
        <w:t xml:space="preserve"> a Resolução CGPC 26, ao recepcionar </w:t>
      </w:r>
      <w:r w:rsidR="00180C29" w:rsidRPr="00973025">
        <w:rPr>
          <w:sz w:val="36"/>
          <w:szCs w:val="36"/>
        </w:rPr>
        <w:t>a “reversão de valores”,</w:t>
      </w:r>
      <w:r w:rsidR="005F09A0" w:rsidRPr="00973025">
        <w:rPr>
          <w:sz w:val="36"/>
          <w:szCs w:val="36"/>
        </w:rPr>
        <w:t xml:space="preserve"> </w:t>
      </w:r>
      <w:r w:rsidR="00180C29" w:rsidRPr="00973025">
        <w:rPr>
          <w:sz w:val="36"/>
          <w:szCs w:val="36"/>
        </w:rPr>
        <w:t>sob a alegação</w:t>
      </w:r>
      <w:r w:rsidR="00DB0C1D" w:rsidRPr="00973025">
        <w:rPr>
          <w:sz w:val="36"/>
          <w:szCs w:val="36"/>
        </w:rPr>
        <w:t xml:space="preserve"> suspeita </w:t>
      </w:r>
      <w:r w:rsidR="0044719A" w:rsidRPr="00973025">
        <w:rPr>
          <w:sz w:val="36"/>
          <w:szCs w:val="36"/>
        </w:rPr>
        <w:t>de devolver ao patrocinador uma contribuição por ele já</w:t>
      </w:r>
      <w:r w:rsidR="00DB0C1D" w:rsidRPr="00973025">
        <w:rPr>
          <w:sz w:val="36"/>
          <w:szCs w:val="36"/>
        </w:rPr>
        <w:t xml:space="preserve"> repassada</w:t>
      </w:r>
      <w:r w:rsidR="0044719A" w:rsidRPr="00973025">
        <w:rPr>
          <w:sz w:val="36"/>
          <w:szCs w:val="36"/>
        </w:rPr>
        <w:t xml:space="preserve"> ao consumidor de seus produtos ou serviços, agrediu </w:t>
      </w:r>
      <w:r w:rsidR="006C59F0" w:rsidRPr="00973025">
        <w:rPr>
          <w:sz w:val="36"/>
          <w:szCs w:val="36"/>
        </w:rPr>
        <w:t xml:space="preserve">não só </w:t>
      </w:r>
      <w:r w:rsidR="0044719A" w:rsidRPr="00973025">
        <w:rPr>
          <w:sz w:val="36"/>
          <w:szCs w:val="36"/>
        </w:rPr>
        <w:t>o ordenamento jurídico</w:t>
      </w:r>
      <w:r w:rsidR="006C59F0" w:rsidRPr="00973025">
        <w:rPr>
          <w:sz w:val="36"/>
          <w:szCs w:val="36"/>
        </w:rPr>
        <w:t>, mas também os fundamentos econômicos,</w:t>
      </w:r>
      <w:r w:rsidR="0044719A" w:rsidRPr="00973025">
        <w:rPr>
          <w:sz w:val="36"/>
          <w:szCs w:val="36"/>
        </w:rPr>
        <w:t xml:space="preserve"> </w:t>
      </w:r>
      <w:r w:rsidR="006C59F0" w:rsidRPr="00973025">
        <w:rPr>
          <w:sz w:val="36"/>
          <w:szCs w:val="36"/>
        </w:rPr>
        <w:t xml:space="preserve"> e os valores</w:t>
      </w:r>
      <w:r w:rsidR="002F0371" w:rsidRPr="00973025">
        <w:rPr>
          <w:sz w:val="36"/>
          <w:szCs w:val="36"/>
        </w:rPr>
        <w:t xml:space="preserve"> éticos e morais,</w:t>
      </w:r>
      <w:r w:rsidR="00355DF4" w:rsidRPr="00973025">
        <w:rPr>
          <w:sz w:val="36"/>
          <w:szCs w:val="36"/>
        </w:rPr>
        <w:t xml:space="preserve"> </w:t>
      </w:r>
      <w:r w:rsidR="0044719A" w:rsidRPr="00973025">
        <w:rPr>
          <w:sz w:val="36"/>
          <w:szCs w:val="36"/>
        </w:rPr>
        <w:t xml:space="preserve">que </w:t>
      </w:r>
      <w:r w:rsidR="0044719A" w:rsidRPr="00973025">
        <w:rPr>
          <w:sz w:val="36"/>
          <w:szCs w:val="36"/>
        </w:rPr>
        <w:lastRenderedPageBreak/>
        <w:t>rege</w:t>
      </w:r>
      <w:r w:rsidR="002F0371" w:rsidRPr="00973025">
        <w:rPr>
          <w:sz w:val="36"/>
          <w:szCs w:val="36"/>
        </w:rPr>
        <w:t>m</w:t>
      </w:r>
      <w:r w:rsidR="0044719A" w:rsidRPr="00973025">
        <w:rPr>
          <w:sz w:val="36"/>
          <w:szCs w:val="36"/>
        </w:rPr>
        <w:t xml:space="preserve"> o </w:t>
      </w:r>
      <w:r w:rsidR="00FB2CAC" w:rsidRPr="00973025">
        <w:rPr>
          <w:sz w:val="36"/>
          <w:szCs w:val="36"/>
        </w:rPr>
        <w:t xml:space="preserve">Plano de Benefícios, que é o próprio </w:t>
      </w:r>
      <w:r w:rsidR="0044719A" w:rsidRPr="00973025">
        <w:rPr>
          <w:sz w:val="36"/>
          <w:szCs w:val="36"/>
        </w:rPr>
        <w:t>contrato de ade</w:t>
      </w:r>
      <w:r w:rsidR="006C59F0" w:rsidRPr="00973025">
        <w:rPr>
          <w:sz w:val="36"/>
          <w:szCs w:val="36"/>
        </w:rPr>
        <w:t>são</w:t>
      </w:r>
      <w:r w:rsidR="003B7158" w:rsidRPr="00973025">
        <w:rPr>
          <w:sz w:val="36"/>
          <w:szCs w:val="36"/>
        </w:rPr>
        <w:t xml:space="preserve"> </w:t>
      </w:r>
      <w:r w:rsidR="006C59F0" w:rsidRPr="00973025">
        <w:rPr>
          <w:sz w:val="36"/>
          <w:szCs w:val="36"/>
        </w:rPr>
        <w:t>cel</w:t>
      </w:r>
      <w:r w:rsidR="0044719A" w:rsidRPr="00973025">
        <w:rPr>
          <w:sz w:val="36"/>
          <w:szCs w:val="36"/>
        </w:rPr>
        <w:t xml:space="preserve">ebrado </w:t>
      </w:r>
      <w:r w:rsidR="006C59F0" w:rsidRPr="00973025">
        <w:rPr>
          <w:sz w:val="36"/>
          <w:szCs w:val="36"/>
        </w:rPr>
        <w:t>entre o Fundo Patrocinado e os participantes e assistidos</w:t>
      </w:r>
      <w:r w:rsidR="00FB2CAC" w:rsidRPr="00973025">
        <w:rPr>
          <w:sz w:val="36"/>
          <w:szCs w:val="36"/>
        </w:rPr>
        <w:t>.</w:t>
      </w:r>
    </w:p>
    <w:p w:rsidR="00577C7D" w:rsidRPr="00973025" w:rsidRDefault="002F0371" w:rsidP="002A1CAD">
      <w:pPr>
        <w:ind w:left="0" w:firstLine="1701"/>
        <w:rPr>
          <w:sz w:val="36"/>
          <w:szCs w:val="36"/>
        </w:rPr>
      </w:pPr>
      <w:r w:rsidRPr="00973025">
        <w:rPr>
          <w:sz w:val="36"/>
          <w:szCs w:val="36"/>
        </w:rPr>
        <w:t xml:space="preserve"> Com o agravante de</w:t>
      </w:r>
      <w:r w:rsidR="002A4697" w:rsidRPr="00973025">
        <w:rPr>
          <w:sz w:val="36"/>
          <w:szCs w:val="36"/>
        </w:rPr>
        <w:t xml:space="preserve"> </w:t>
      </w:r>
      <w:r w:rsidRPr="00973025">
        <w:rPr>
          <w:sz w:val="36"/>
          <w:szCs w:val="36"/>
        </w:rPr>
        <w:t>haver estend</w:t>
      </w:r>
      <w:r w:rsidR="00973025">
        <w:rPr>
          <w:sz w:val="36"/>
          <w:szCs w:val="36"/>
        </w:rPr>
        <w:t>ido</w:t>
      </w:r>
      <w:r w:rsidR="002A4697" w:rsidRPr="00973025">
        <w:rPr>
          <w:sz w:val="36"/>
          <w:szCs w:val="36"/>
        </w:rPr>
        <w:t>,</w:t>
      </w:r>
      <w:r w:rsidRPr="00973025">
        <w:rPr>
          <w:sz w:val="36"/>
          <w:szCs w:val="36"/>
        </w:rPr>
        <w:t xml:space="preserve"> ardilosa e desnecessariamente</w:t>
      </w:r>
      <w:r w:rsidR="002A4697" w:rsidRPr="00973025">
        <w:rPr>
          <w:sz w:val="36"/>
          <w:szCs w:val="36"/>
        </w:rPr>
        <w:t xml:space="preserve">, a “reversão </w:t>
      </w:r>
      <w:r w:rsidR="00797531" w:rsidRPr="00973025">
        <w:rPr>
          <w:sz w:val="36"/>
          <w:szCs w:val="36"/>
        </w:rPr>
        <w:t>de</w:t>
      </w:r>
      <w:r w:rsidR="002A4697" w:rsidRPr="00973025">
        <w:rPr>
          <w:sz w:val="36"/>
          <w:szCs w:val="36"/>
        </w:rPr>
        <w:t xml:space="preserve"> valores” aos participantes</w:t>
      </w:r>
      <w:r w:rsidR="00797531" w:rsidRPr="00973025">
        <w:rPr>
          <w:sz w:val="36"/>
          <w:szCs w:val="36"/>
        </w:rPr>
        <w:t xml:space="preserve"> e assistidos</w:t>
      </w:r>
      <w:r w:rsidRPr="00973025">
        <w:rPr>
          <w:sz w:val="36"/>
          <w:szCs w:val="36"/>
        </w:rPr>
        <w:t>, jogando com a necessidade e o desconhecimento da legislação por</w:t>
      </w:r>
      <w:r w:rsidR="00DC3E06" w:rsidRPr="00973025">
        <w:rPr>
          <w:sz w:val="36"/>
          <w:szCs w:val="36"/>
        </w:rPr>
        <w:t xml:space="preserve"> parte de</w:t>
      </w:r>
      <w:r w:rsidRPr="00973025">
        <w:rPr>
          <w:sz w:val="36"/>
          <w:szCs w:val="36"/>
        </w:rPr>
        <w:t xml:space="preserve"> parcela</w:t>
      </w:r>
      <w:r w:rsidR="003B7158" w:rsidRPr="00973025">
        <w:rPr>
          <w:sz w:val="36"/>
          <w:szCs w:val="36"/>
        </w:rPr>
        <w:t xml:space="preserve"> d</w:t>
      </w:r>
      <w:r w:rsidR="00DC3E06" w:rsidRPr="00973025">
        <w:rPr>
          <w:sz w:val="36"/>
          <w:szCs w:val="36"/>
        </w:rPr>
        <w:t>essa comunidade,</w:t>
      </w:r>
      <w:proofErr w:type="gramStart"/>
      <w:r w:rsidR="00DC3E06" w:rsidRPr="00973025">
        <w:rPr>
          <w:sz w:val="36"/>
          <w:szCs w:val="36"/>
        </w:rPr>
        <w:t xml:space="preserve"> </w:t>
      </w:r>
      <w:r w:rsidR="00355DF4" w:rsidRPr="00973025">
        <w:rPr>
          <w:sz w:val="36"/>
          <w:szCs w:val="36"/>
        </w:rPr>
        <w:t xml:space="preserve"> </w:t>
      </w:r>
      <w:proofErr w:type="gramEnd"/>
      <w:r w:rsidR="00355DF4" w:rsidRPr="00973025">
        <w:rPr>
          <w:sz w:val="36"/>
          <w:szCs w:val="36"/>
        </w:rPr>
        <w:t>subvertendo assim</w:t>
      </w:r>
      <w:r w:rsidR="003B7158" w:rsidRPr="00973025">
        <w:rPr>
          <w:sz w:val="36"/>
          <w:szCs w:val="36"/>
        </w:rPr>
        <w:t xml:space="preserve"> o conceito de revisão do Plano</w:t>
      </w:r>
      <w:r w:rsidR="00355DF4" w:rsidRPr="00973025">
        <w:rPr>
          <w:sz w:val="36"/>
          <w:szCs w:val="36"/>
        </w:rPr>
        <w:t xml:space="preserve"> previsto nos parágrafos do artigo 20 da LC 1</w:t>
      </w:r>
      <w:r w:rsidR="00F34FF4" w:rsidRPr="00973025">
        <w:rPr>
          <w:sz w:val="36"/>
          <w:szCs w:val="36"/>
        </w:rPr>
        <w:t>09</w:t>
      </w:r>
      <w:r w:rsidR="00355DF4" w:rsidRPr="00973025">
        <w:rPr>
          <w:sz w:val="36"/>
          <w:szCs w:val="36"/>
        </w:rPr>
        <w:t>/01.</w:t>
      </w:r>
    </w:p>
    <w:p w:rsidR="005B67AB" w:rsidRPr="00973025" w:rsidRDefault="005B67AB" w:rsidP="002A1CAD">
      <w:pPr>
        <w:ind w:left="0" w:firstLine="1701"/>
        <w:rPr>
          <w:sz w:val="36"/>
          <w:szCs w:val="36"/>
        </w:rPr>
      </w:pPr>
      <w:r w:rsidRPr="00973025">
        <w:rPr>
          <w:sz w:val="36"/>
          <w:szCs w:val="36"/>
        </w:rPr>
        <w:t>Comprovemos o que acabamos de afirmar.</w:t>
      </w:r>
    </w:p>
    <w:p w:rsidR="005B67AB" w:rsidRPr="00973025" w:rsidRDefault="005B67AB" w:rsidP="005B67AB">
      <w:pPr>
        <w:ind w:left="0" w:firstLine="1276"/>
        <w:rPr>
          <w:b/>
          <w:sz w:val="36"/>
          <w:szCs w:val="36"/>
          <w:u w:val="single"/>
        </w:rPr>
      </w:pPr>
      <w:r w:rsidRPr="00973025">
        <w:rPr>
          <w:b/>
          <w:sz w:val="36"/>
          <w:szCs w:val="36"/>
          <w:u w:val="single"/>
        </w:rPr>
        <w:t>1 – DA AGRESSÃO AO ORDENAMENTO JURÍDICO</w:t>
      </w:r>
      <w:r w:rsidR="001A5895" w:rsidRPr="00973025">
        <w:rPr>
          <w:b/>
          <w:sz w:val="36"/>
          <w:szCs w:val="36"/>
          <w:u w:val="single"/>
        </w:rPr>
        <w:t>,</w:t>
      </w:r>
    </w:p>
    <w:p w:rsidR="00220B3C" w:rsidRPr="00973025" w:rsidRDefault="001A5895" w:rsidP="005B67AB">
      <w:pPr>
        <w:ind w:left="0" w:firstLine="1276"/>
        <w:rPr>
          <w:sz w:val="36"/>
          <w:szCs w:val="36"/>
        </w:rPr>
      </w:pPr>
      <w:r w:rsidRPr="00973025">
        <w:rPr>
          <w:sz w:val="36"/>
          <w:szCs w:val="36"/>
        </w:rPr>
        <w:t xml:space="preserve">Em primorosa síntese sobre o instituto da Reversão de Valores à Luz da Hermenêutica Jurídica, </w:t>
      </w:r>
      <w:r w:rsidR="00250569" w:rsidRPr="00973025">
        <w:rPr>
          <w:sz w:val="36"/>
          <w:szCs w:val="36"/>
        </w:rPr>
        <w:t>o</w:t>
      </w:r>
      <w:r w:rsidR="002D2ADE" w:rsidRPr="00973025">
        <w:rPr>
          <w:sz w:val="36"/>
          <w:szCs w:val="36"/>
        </w:rPr>
        <w:t xml:space="preserve"> </w:t>
      </w:r>
      <w:r w:rsidR="00250569" w:rsidRPr="00973025">
        <w:rPr>
          <w:sz w:val="36"/>
          <w:szCs w:val="36"/>
        </w:rPr>
        <w:t>mestre Edgardo Amorim Rego</w:t>
      </w:r>
      <w:r w:rsidR="009E1663" w:rsidRPr="00973025">
        <w:rPr>
          <w:sz w:val="36"/>
          <w:szCs w:val="36"/>
        </w:rPr>
        <w:t xml:space="preserve"> menciona</w:t>
      </w:r>
      <w:r w:rsidR="00BD6BEC" w:rsidRPr="00973025">
        <w:rPr>
          <w:sz w:val="36"/>
          <w:szCs w:val="36"/>
        </w:rPr>
        <w:t xml:space="preserve"> as normas e os </w:t>
      </w:r>
      <w:r w:rsidR="00735194" w:rsidRPr="00973025">
        <w:rPr>
          <w:sz w:val="36"/>
          <w:szCs w:val="36"/>
        </w:rPr>
        <w:t>“princípios gerais</w:t>
      </w:r>
      <w:r w:rsidR="002A3282" w:rsidRPr="00973025">
        <w:rPr>
          <w:sz w:val="36"/>
          <w:szCs w:val="36"/>
        </w:rPr>
        <w:t xml:space="preserve"> para uma boa hermenêutica de textos legais</w:t>
      </w:r>
      <w:r w:rsidR="00735194" w:rsidRPr="00973025">
        <w:rPr>
          <w:sz w:val="36"/>
          <w:szCs w:val="36"/>
        </w:rPr>
        <w:t>”, expost</w:t>
      </w:r>
      <w:r w:rsidR="009E1663" w:rsidRPr="00973025">
        <w:rPr>
          <w:sz w:val="36"/>
          <w:szCs w:val="36"/>
        </w:rPr>
        <w:t>a</w:t>
      </w:r>
      <w:r w:rsidR="002A3282" w:rsidRPr="00973025">
        <w:rPr>
          <w:sz w:val="36"/>
          <w:szCs w:val="36"/>
        </w:rPr>
        <w:t>s pelo Especialista Wladimi</w:t>
      </w:r>
      <w:r w:rsidR="00735194" w:rsidRPr="00973025">
        <w:rPr>
          <w:sz w:val="36"/>
          <w:szCs w:val="36"/>
        </w:rPr>
        <w:t>r Novaes Martinez</w:t>
      </w:r>
      <w:r w:rsidR="002A3282" w:rsidRPr="00973025">
        <w:rPr>
          <w:sz w:val="36"/>
          <w:szCs w:val="36"/>
        </w:rPr>
        <w:t>,</w:t>
      </w:r>
      <w:r w:rsidR="002D2ADE" w:rsidRPr="00973025">
        <w:rPr>
          <w:sz w:val="36"/>
          <w:szCs w:val="36"/>
        </w:rPr>
        <w:t xml:space="preserve"> </w:t>
      </w:r>
      <w:r w:rsidR="002D2ADE" w:rsidRPr="00973025">
        <w:rPr>
          <w:i/>
          <w:sz w:val="36"/>
          <w:szCs w:val="36"/>
        </w:rPr>
        <w:t>in</w:t>
      </w:r>
      <w:r w:rsidR="002D2ADE" w:rsidRPr="00973025">
        <w:rPr>
          <w:sz w:val="36"/>
          <w:szCs w:val="36"/>
        </w:rPr>
        <w:t xml:space="preserve"> “Curso de Direito Previdenciários”. </w:t>
      </w:r>
      <w:r w:rsidR="000F49F2" w:rsidRPr="00973025">
        <w:rPr>
          <w:sz w:val="36"/>
          <w:szCs w:val="36"/>
        </w:rPr>
        <w:t xml:space="preserve"> </w:t>
      </w:r>
      <w:r w:rsidR="00220B3C" w:rsidRPr="00973025">
        <w:rPr>
          <w:sz w:val="36"/>
          <w:szCs w:val="36"/>
        </w:rPr>
        <w:t xml:space="preserve"> </w:t>
      </w:r>
      <w:r w:rsidR="000F49F2" w:rsidRPr="00973025">
        <w:rPr>
          <w:sz w:val="36"/>
          <w:szCs w:val="36"/>
        </w:rPr>
        <w:t>Para Martinez, a primeira das normas: “leitura do texto estudado” possibilita que em certas circunstâncias a dificuldade de interpretação desaparece após leitura detida do dispositivo.  Ao final o referido especialista ensina “princípios gerais – os princípios também não são fontes formais em face da lei dispositiva e expressa nada significam...</w:t>
      </w:r>
      <w:proofErr w:type="gramStart"/>
      <w:r w:rsidR="000F49F2" w:rsidRPr="00973025">
        <w:rPr>
          <w:sz w:val="36"/>
          <w:szCs w:val="36"/>
        </w:rPr>
        <w:t>”</w:t>
      </w:r>
      <w:proofErr w:type="gramEnd"/>
      <w:r w:rsidR="000F49F2" w:rsidRPr="00973025">
        <w:rPr>
          <w:sz w:val="36"/>
          <w:szCs w:val="36"/>
        </w:rPr>
        <w:t xml:space="preserve">  </w:t>
      </w:r>
    </w:p>
    <w:p w:rsidR="000F49F2" w:rsidRPr="00973025" w:rsidRDefault="00220B3C" w:rsidP="005B67AB">
      <w:pPr>
        <w:ind w:left="0" w:firstLine="1276"/>
        <w:rPr>
          <w:sz w:val="36"/>
          <w:szCs w:val="36"/>
        </w:rPr>
      </w:pPr>
      <w:r w:rsidRPr="00973025">
        <w:rPr>
          <w:sz w:val="36"/>
          <w:szCs w:val="36"/>
        </w:rPr>
        <w:t>Segundo</w:t>
      </w:r>
      <w:r w:rsidR="000F49F2" w:rsidRPr="00973025">
        <w:rPr>
          <w:sz w:val="36"/>
          <w:szCs w:val="36"/>
        </w:rPr>
        <w:t xml:space="preserve"> Edgardo, isso é indiscutível: </w:t>
      </w:r>
      <w:r w:rsidR="000046AD" w:rsidRPr="00973025">
        <w:rPr>
          <w:sz w:val="36"/>
          <w:szCs w:val="36"/>
        </w:rPr>
        <w:t>“</w:t>
      </w:r>
      <w:r w:rsidR="000F49F2" w:rsidRPr="00973025">
        <w:rPr>
          <w:sz w:val="36"/>
          <w:szCs w:val="36"/>
        </w:rPr>
        <w:t>se a Lei é clara e não tem lacuna não há porque se apelar para</w:t>
      </w:r>
      <w:proofErr w:type="gramStart"/>
      <w:r w:rsidR="000F49F2" w:rsidRPr="00973025">
        <w:rPr>
          <w:sz w:val="36"/>
          <w:szCs w:val="36"/>
        </w:rPr>
        <w:t xml:space="preserve">  </w:t>
      </w:r>
      <w:proofErr w:type="gramEnd"/>
      <w:r w:rsidR="000F49F2" w:rsidRPr="00973025">
        <w:rPr>
          <w:sz w:val="36"/>
          <w:szCs w:val="36"/>
        </w:rPr>
        <w:t>princípios</w:t>
      </w:r>
      <w:r w:rsidR="000046AD" w:rsidRPr="00973025">
        <w:rPr>
          <w:sz w:val="36"/>
          <w:szCs w:val="36"/>
        </w:rPr>
        <w:t>”</w:t>
      </w:r>
      <w:r w:rsidR="000F49F2" w:rsidRPr="00973025">
        <w:rPr>
          <w:sz w:val="36"/>
          <w:szCs w:val="36"/>
        </w:rPr>
        <w:t xml:space="preserve">. </w:t>
      </w:r>
      <w:r w:rsidR="000046AD" w:rsidRPr="00973025">
        <w:rPr>
          <w:sz w:val="36"/>
          <w:szCs w:val="36"/>
        </w:rPr>
        <w:t xml:space="preserve"> </w:t>
      </w:r>
      <w:r w:rsidR="005929B8" w:rsidRPr="00973025">
        <w:rPr>
          <w:sz w:val="36"/>
          <w:szCs w:val="36"/>
        </w:rPr>
        <w:t>“</w:t>
      </w:r>
      <w:r w:rsidR="000046AD" w:rsidRPr="00973025">
        <w:rPr>
          <w:sz w:val="36"/>
          <w:szCs w:val="36"/>
        </w:rPr>
        <w:t xml:space="preserve">Aliás, os próprios inventores do Instituto de Reversão de Valores confessam que usam o princípio da isonomia, simplesmente porque, alegam eles, a LC 109/01 é omissa </w:t>
      </w:r>
      <w:r w:rsidR="00734438" w:rsidRPr="00973025">
        <w:rPr>
          <w:sz w:val="36"/>
          <w:szCs w:val="36"/>
        </w:rPr>
        <w:t>n</w:t>
      </w:r>
      <w:r w:rsidR="000046AD" w:rsidRPr="00973025">
        <w:rPr>
          <w:sz w:val="36"/>
          <w:szCs w:val="36"/>
        </w:rPr>
        <w:t xml:space="preserve">o que tange </w:t>
      </w:r>
      <w:r w:rsidR="00734438" w:rsidRPr="00973025">
        <w:rPr>
          <w:sz w:val="36"/>
          <w:szCs w:val="36"/>
        </w:rPr>
        <w:t>a</w:t>
      </w:r>
      <w:r w:rsidR="007F4EBA" w:rsidRPr="00973025">
        <w:rPr>
          <w:sz w:val="36"/>
          <w:szCs w:val="36"/>
        </w:rPr>
        <w:t>o assunto da</w:t>
      </w:r>
      <w:r w:rsidR="000046AD" w:rsidRPr="00973025">
        <w:rPr>
          <w:sz w:val="36"/>
          <w:szCs w:val="36"/>
        </w:rPr>
        <w:t xml:space="preserve"> distribuição de </w:t>
      </w:r>
      <w:r w:rsidR="005929B8" w:rsidRPr="00973025">
        <w:rPr>
          <w:sz w:val="36"/>
          <w:szCs w:val="36"/>
        </w:rPr>
        <w:t>superávits”</w:t>
      </w:r>
      <w:r w:rsidR="000046AD" w:rsidRPr="00973025">
        <w:rPr>
          <w:sz w:val="36"/>
          <w:szCs w:val="36"/>
        </w:rPr>
        <w:t>.</w:t>
      </w:r>
      <w:r w:rsidR="005929B8" w:rsidRPr="00973025">
        <w:rPr>
          <w:sz w:val="36"/>
          <w:szCs w:val="36"/>
        </w:rPr>
        <w:t xml:space="preserve"> </w:t>
      </w:r>
      <w:r w:rsidR="00291F55" w:rsidRPr="00973025">
        <w:rPr>
          <w:sz w:val="36"/>
          <w:szCs w:val="36"/>
        </w:rPr>
        <w:t xml:space="preserve"> Ora, “é que eles não querem ler o artigo 19 da LC 109/01.</w:t>
      </w:r>
      <w:proofErr w:type="gramStart"/>
      <w:r w:rsidR="00291F55" w:rsidRPr="00973025">
        <w:rPr>
          <w:sz w:val="36"/>
          <w:szCs w:val="36"/>
        </w:rPr>
        <w:t xml:space="preserve">  </w:t>
      </w:r>
      <w:proofErr w:type="gramEnd"/>
      <w:r w:rsidR="00291F55" w:rsidRPr="00973025">
        <w:rPr>
          <w:sz w:val="36"/>
          <w:szCs w:val="36"/>
        </w:rPr>
        <w:t xml:space="preserve">Este artigo </w:t>
      </w:r>
      <w:r w:rsidR="00291F55" w:rsidRPr="00973025">
        <w:rPr>
          <w:sz w:val="36"/>
          <w:szCs w:val="36"/>
        </w:rPr>
        <w:lastRenderedPageBreak/>
        <w:t xml:space="preserve">é precisamente aquele no qual o legislador dispõe no que “QUER QUE SE GASTEM AS CONTRIBUIÇÕES SEPARADAS COMO RESERVAS, SEJAM ELAS DE QUE TIPO FOR”. </w:t>
      </w:r>
      <w:r w:rsidR="008C0E77" w:rsidRPr="00973025">
        <w:rPr>
          <w:sz w:val="36"/>
          <w:szCs w:val="36"/>
        </w:rPr>
        <w:t xml:space="preserve">  </w:t>
      </w:r>
      <w:r w:rsidR="00291F55" w:rsidRPr="00973025">
        <w:rPr>
          <w:sz w:val="36"/>
          <w:szCs w:val="36"/>
        </w:rPr>
        <w:t>Ei-lo</w:t>
      </w:r>
      <w:r w:rsidR="00CE5FC3" w:rsidRPr="00973025">
        <w:rPr>
          <w:sz w:val="36"/>
          <w:szCs w:val="36"/>
        </w:rPr>
        <w:t>:</w:t>
      </w:r>
      <w:r w:rsidR="00291F55" w:rsidRPr="00973025">
        <w:rPr>
          <w:sz w:val="36"/>
          <w:szCs w:val="36"/>
        </w:rPr>
        <w:t xml:space="preserve"> Art. 19</w:t>
      </w:r>
      <w:r w:rsidR="00AB0F22" w:rsidRPr="00973025">
        <w:rPr>
          <w:sz w:val="36"/>
          <w:szCs w:val="36"/>
        </w:rPr>
        <w:t xml:space="preserve">. – </w:t>
      </w:r>
      <w:r w:rsidR="003A251D" w:rsidRPr="00973025">
        <w:rPr>
          <w:sz w:val="36"/>
          <w:szCs w:val="36"/>
        </w:rPr>
        <w:t>“</w:t>
      </w:r>
      <w:r w:rsidR="00AB0F22" w:rsidRPr="00973025">
        <w:rPr>
          <w:sz w:val="36"/>
          <w:szCs w:val="36"/>
        </w:rPr>
        <w:t xml:space="preserve">As contribuições (todas, as normais e as extraordinárias) destinadas à constituição de reservas terão como finalidade prover o pagamento de benefícios de caráter previdenciário, </w:t>
      </w:r>
      <w:r w:rsidR="00CE5FC3" w:rsidRPr="00973025">
        <w:rPr>
          <w:sz w:val="36"/>
          <w:szCs w:val="36"/>
        </w:rPr>
        <w:t xml:space="preserve">observadas </w:t>
      </w:r>
      <w:r w:rsidR="00AB0F22" w:rsidRPr="00973025">
        <w:rPr>
          <w:sz w:val="36"/>
          <w:szCs w:val="36"/>
        </w:rPr>
        <w:t>as especificidades</w:t>
      </w:r>
      <w:r w:rsidR="00CE5FC3" w:rsidRPr="00973025">
        <w:rPr>
          <w:sz w:val="36"/>
          <w:szCs w:val="36"/>
        </w:rPr>
        <w:t xml:space="preserve"> previstas </w:t>
      </w:r>
      <w:r w:rsidR="00AB0F22" w:rsidRPr="00973025">
        <w:rPr>
          <w:sz w:val="36"/>
          <w:szCs w:val="36"/>
        </w:rPr>
        <w:t xml:space="preserve"> nesta Lei Comp</w:t>
      </w:r>
      <w:r w:rsidR="00CE5FC3" w:rsidRPr="00973025">
        <w:rPr>
          <w:sz w:val="36"/>
          <w:szCs w:val="36"/>
        </w:rPr>
        <w:t>lementar”.</w:t>
      </w:r>
    </w:p>
    <w:p w:rsidR="00CE5FC3" w:rsidRPr="00973025" w:rsidRDefault="003A251D" w:rsidP="005B67AB">
      <w:pPr>
        <w:ind w:left="0" w:firstLine="1276"/>
        <w:rPr>
          <w:sz w:val="36"/>
          <w:szCs w:val="36"/>
        </w:rPr>
      </w:pPr>
      <w:r w:rsidRPr="00973025">
        <w:rPr>
          <w:sz w:val="36"/>
          <w:szCs w:val="36"/>
        </w:rPr>
        <w:t xml:space="preserve">“E o artigo 20 da LC 109/01 menciona as ESPECIFICIDADES: </w:t>
      </w:r>
      <w:r w:rsidR="003E2528" w:rsidRPr="00973025">
        <w:rPr>
          <w:sz w:val="36"/>
          <w:szCs w:val="36"/>
        </w:rPr>
        <w:t>Reservas Matemáticas</w:t>
      </w:r>
      <w:proofErr w:type="gramStart"/>
      <w:r w:rsidR="003E2528" w:rsidRPr="00973025">
        <w:rPr>
          <w:sz w:val="36"/>
          <w:szCs w:val="36"/>
        </w:rPr>
        <w:t>, Reserva</w:t>
      </w:r>
      <w:proofErr w:type="gramEnd"/>
      <w:r w:rsidR="003E2528" w:rsidRPr="00973025">
        <w:rPr>
          <w:sz w:val="36"/>
          <w:szCs w:val="36"/>
        </w:rPr>
        <w:t xml:space="preserve"> de Contingência e Reserva Especial.  Todas as três são RESERVAS.  Todas as três, pois são contribuições separadas para pagamento de benefícios previdenciários. Reserva Matemática gastam-se nos rotineiros pagamentos dos benefícios previdenciários contratados, </w:t>
      </w:r>
      <w:r w:rsidR="00734438" w:rsidRPr="00973025">
        <w:rPr>
          <w:sz w:val="36"/>
          <w:szCs w:val="36"/>
        </w:rPr>
        <w:t>R</w:t>
      </w:r>
      <w:r w:rsidR="003E2528" w:rsidRPr="00973025">
        <w:rPr>
          <w:sz w:val="36"/>
          <w:szCs w:val="36"/>
        </w:rPr>
        <w:t xml:space="preserve">eserva de </w:t>
      </w:r>
      <w:r w:rsidR="00734438" w:rsidRPr="00973025">
        <w:rPr>
          <w:sz w:val="36"/>
          <w:szCs w:val="36"/>
        </w:rPr>
        <w:t>C</w:t>
      </w:r>
      <w:r w:rsidR="003E2528" w:rsidRPr="00973025">
        <w:rPr>
          <w:sz w:val="36"/>
          <w:szCs w:val="36"/>
        </w:rPr>
        <w:t xml:space="preserve">ontingência gasta-se no pagamento de benefícios previdenciários, quando eventualmente as reservas matemáticas se apresentarem desfalcadas. Reserva Especial gasta-se para a redução das contribuições ou para o aumento do valor do benefício contratado, dependendo da situação financeira do plano de benefícios, e sob certas condições, entre elas a da revisão dos parâmetros financeiros e atuariais do plano de benefícios”. </w:t>
      </w:r>
    </w:p>
    <w:p w:rsidR="003E2528" w:rsidRPr="00973025" w:rsidRDefault="003E2528" w:rsidP="005B67AB">
      <w:pPr>
        <w:ind w:left="0" w:firstLine="1276"/>
        <w:rPr>
          <w:sz w:val="36"/>
          <w:szCs w:val="36"/>
        </w:rPr>
      </w:pPr>
      <w:r w:rsidRPr="00973025">
        <w:rPr>
          <w:sz w:val="36"/>
          <w:szCs w:val="36"/>
        </w:rPr>
        <w:t>“No artigo 20 o legislador já não trata do DESTINO DAS RESERVAS PREVIDENCIÁRIAS.</w:t>
      </w:r>
      <w:proofErr w:type="gramStart"/>
      <w:r w:rsidRPr="00973025">
        <w:rPr>
          <w:sz w:val="36"/>
          <w:szCs w:val="36"/>
        </w:rPr>
        <w:t xml:space="preserve">  </w:t>
      </w:r>
      <w:proofErr w:type="gramEnd"/>
      <w:r w:rsidRPr="00973025">
        <w:rPr>
          <w:sz w:val="36"/>
          <w:szCs w:val="36"/>
        </w:rPr>
        <w:t>Para ele, este assunto está regulado pelo artigo 19 e nele está encerrado”.</w:t>
      </w:r>
    </w:p>
    <w:p w:rsidR="004A1688" w:rsidRPr="00973025" w:rsidRDefault="004A1688" w:rsidP="005B67AB">
      <w:pPr>
        <w:ind w:left="0" w:firstLine="1276"/>
        <w:rPr>
          <w:sz w:val="36"/>
          <w:szCs w:val="36"/>
        </w:rPr>
      </w:pPr>
      <w:r w:rsidRPr="00973025">
        <w:rPr>
          <w:sz w:val="36"/>
          <w:szCs w:val="36"/>
        </w:rPr>
        <w:t>“</w:t>
      </w:r>
      <w:r w:rsidR="003E2528" w:rsidRPr="00973025">
        <w:rPr>
          <w:sz w:val="36"/>
          <w:szCs w:val="36"/>
        </w:rPr>
        <w:t>O artigo 20 dispõe sobre outro assunto</w:t>
      </w:r>
      <w:r w:rsidR="00FE3845" w:rsidRPr="00973025">
        <w:rPr>
          <w:sz w:val="36"/>
          <w:szCs w:val="36"/>
        </w:rPr>
        <w:t>, a saber,</w:t>
      </w:r>
      <w:r w:rsidR="003E2528" w:rsidRPr="00973025">
        <w:rPr>
          <w:sz w:val="36"/>
          <w:szCs w:val="36"/>
        </w:rPr>
        <w:t xml:space="preserve"> como se equilibra um plano de benéficos previdenciários desequilibrado por excesso de reservas. Trata</w:t>
      </w:r>
      <w:r w:rsidR="00FE3845" w:rsidRPr="00973025">
        <w:rPr>
          <w:sz w:val="36"/>
          <w:szCs w:val="36"/>
        </w:rPr>
        <w:t>, por isso</w:t>
      </w:r>
      <w:r w:rsidR="003E2528" w:rsidRPr="00973025">
        <w:rPr>
          <w:sz w:val="36"/>
          <w:szCs w:val="36"/>
        </w:rPr>
        <w:t xml:space="preserve"> das ESPECIFICIDADES </w:t>
      </w:r>
      <w:r w:rsidR="00FE3845" w:rsidRPr="00973025">
        <w:rPr>
          <w:sz w:val="36"/>
          <w:szCs w:val="36"/>
        </w:rPr>
        <w:t>dos gastos das Reservas previdenciárias</w:t>
      </w:r>
      <w:r w:rsidR="00B11E0A" w:rsidRPr="00973025">
        <w:rPr>
          <w:sz w:val="36"/>
          <w:szCs w:val="36"/>
        </w:rPr>
        <w:t xml:space="preserve"> com o pagamento</w:t>
      </w:r>
      <w:r w:rsidR="003E2528" w:rsidRPr="00973025">
        <w:rPr>
          <w:sz w:val="36"/>
          <w:szCs w:val="36"/>
        </w:rPr>
        <w:t xml:space="preserve"> de benefícios previdenciários</w:t>
      </w:r>
      <w:r w:rsidR="00FE3845" w:rsidRPr="00973025">
        <w:rPr>
          <w:sz w:val="36"/>
          <w:szCs w:val="36"/>
        </w:rPr>
        <w:t>,</w:t>
      </w:r>
      <w:r w:rsidR="003E2528" w:rsidRPr="00973025">
        <w:rPr>
          <w:sz w:val="36"/>
          <w:szCs w:val="36"/>
        </w:rPr>
        <w:t xml:space="preserve"> porque a LC 109/01, por prudência, estabelece </w:t>
      </w:r>
      <w:proofErr w:type="gramStart"/>
      <w:r w:rsidR="003E2528" w:rsidRPr="00973025">
        <w:rPr>
          <w:sz w:val="36"/>
          <w:szCs w:val="36"/>
        </w:rPr>
        <w:t>3</w:t>
      </w:r>
      <w:proofErr w:type="gramEnd"/>
      <w:r w:rsidR="003E2528" w:rsidRPr="00973025">
        <w:rPr>
          <w:sz w:val="36"/>
          <w:szCs w:val="36"/>
        </w:rPr>
        <w:t xml:space="preserve"> parâmetros : o do valor dos benefícios contratados, o do valor da </w:t>
      </w:r>
      <w:r w:rsidR="00FE3845" w:rsidRPr="00973025">
        <w:rPr>
          <w:sz w:val="36"/>
          <w:szCs w:val="36"/>
        </w:rPr>
        <w:t>R</w:t>
      </w:r>
      <w:r w:rsidR="003E2528" w:rsidRPr="00973025">
        <w:rPr>
          <w:sz w:val="36"/>
          <w:szCs w:val="36"/>
        </w:rPr>
        <w:t xml:space="preserve">eserva de </w:t>
      </w:r>
      <w:r w:rsidR="003E2528" w:rsidRPr="00973025">
        <w:rPr>
          <w:sz w:val="36"/>
          <w:szCs w:val="36"/>
        </w:rPr>
        <w:lastRenderedPageBreak/>
        <w:t>Contingência e o valor que pode ser distribuído sem prejuízo do prudente valor de garantia do equilíbrio entre reservas e benefícios contratados</w:t>
      </w:r>
      <w:r w:rsidRPr="00973025">
        <w:rPr>
          <w:sz w:val="36"/>
          <w:szCs w:val="36"/>
        </w:rPr>
        <w:t>”</w:t>
      </w:r>
      <w:r w:rsidR="003E2528" w:rsidRPr="00973025">
        <w:rPr>
          <w:sz w:val="36"/>
          <w:szCs w:val="36"/>
        </w:rPr>
        <w:t>.</w:t>
      </w:r>
    </w:p>
    <w:p w:rsidR="007C2439" w:rsidRPr="00973025" w:rsidRDefault="004A1688" w:rsidP="005B67AB">
      <w:pPr>
        <w:ind w:left="0" w:firstLine="1276"/>
        <w:rPr>
          <w:sz w:val="36"/>
          <w:szCs w:val="36"/>
        </w:rPr>
      </w:pPr>
      <w:r w:rsidRPr="00973025">
        <w:rPr>
          <w:sz w:val="36"/>
          <w:szCs w:val="36"/>
        </w:rPr>
        <w:t xml:space="preserve">“Há texto mais contundente? Mais </w:t>
      </w:r>
      <w:proofErr w:type="gramStart"/>
      <w:r w:rsidRPr="00973025">
        <w:rPr>
          <w:sz w:val="36"/>
          <w:szCs w:val="36"/>
        </w:rPr>
        <w:t>categórico ?</w:t>
      </w:r>
      <w:proofErr w:type="gramEnd"/>
      <w:r w:rsidRPr="00973025">
        <w:rPr>
          <w:sz w:val="36"/>
          <w:szCs w:val="36"/>
        </w:rPr>
        <w:t xml:space="preserve"> Mais pormenorizado ?</w:t>
      </w:r>
      <w:r w:rsidR="007C2439" w:rsidRPr="00973025">
        <w:rPr>
          <w:sz w:val="36"/>
          <w:szCs w:val="36"/>
        </w:rPr>
        <w:t xml:space="preserve">  </w:t>
      </w:r>
      <w:r w:rsidRPr="00973025">
        <w:rPr>
          <w:sz w:val="36"/>
          <w:szCs w:val="36"/>
        </w:rPr>
        <w:t xml:space="preserve"> Há texto mais insistente ? </w:t>
      </w:r>
      <w:r w:rsidR="007C2439" w:rsidRPr="00973025">
        <w:rPr>
          <w:sz w:val="36"/>
          <w:szCs w:val="36"/>
        </w:rPr>
        <w:t xml:space="preserve"> </w:t>
      </w:r>
      <w:r w:rsidRPr="00973025">
        <w:rPr>
          <w:sz w:val="36"/>
          <w:szCs w:val="36"/>
        </w:rPr>
        <w:t xml:space="preserve"> Todas as contribuições separadas como reservas (e essas reservas são de três tipos) gastam-se no pagamento de benefícios previdenciários.  Assunto encerrado, esclarecido e completamente regulamentado”. </w:t>
      </w:r>
    </w:p>
    <w:p w:rsidR="00F35878" w:rsidRPr="00973025" w:rsidRDefault="00F35878" w:rsidP="005B67AB">
      <w:pPr>
        <w:ind w:left="0" w:firstLine="1276"/>
        <w:rPr>
          <w:sz w:val="36"/>
          <w:szCs w:val="36"/>
        </w:rPr>
      </w:pPr>
      <w:r w:rsidRPr="00973025">
        <w:rPr>
          <w:sz w:val="36"/>
          <w:szCs w:val="36"/>
        </w:rPr>
        <w:t>“</w:t>
      </w:r>
      <w:r w:rsidR="004A1688" w:rsidRPr="00973025">
        <w:rPr>
          <w:sz w:val="36"/>
          <w:szCs w:val="36"/>
        </w:rPr>
        <w:t xml:space="preserve">Wladimir Novaes Martinez, naquela primeira norma de hermenêutica jurídica, acrescenta mais uma </w:t>
      </w:r>
      <w:r w:rsidR="007C2439" w:rsidRPr="00973025">
        <w:rPr>
          <w:sz w:val="36"/>
          <w:szCs w:val="36"/>
        </w:rPr>
        <w:t>particularidade:</w:t>
      </w:r>
      <w:r w:rsidR="004A1688" w:rsidRPr="00973025">
        <w:rPr>
          <w:sz w:val="36"/>
          <w:szCs w:val="36"/>
        </w:rPr>
        <w:t xml:space="preserve"> </w:t>
      </w:r>
      <w:proofErr w:type="gramStart"/>
      <w:r w:rsidR="004A1688" w:rsidRPr="00973025">
        <w:rPr>
          <w:sz w:val="36"/>
          <w:szCs w:val="36"/>
        </w:rPr>
        <w:t>“co</w:t>
      </w:r>
      <w:r w:rsidR="007C2439" w:rsidRPr="00973025">
        <w:rPr>
          <w:sz w:val="36"/>
          <w:szCs w:val="36"/>
        </w:rPr>
        <w:t>n</w:t>
      </w:r>
      <w:r w:rsidR="004A1688" w:rsidRPr="00973025">
        <w:rPr>
          <w:sz w:val="36"/>
          <w:szCs w:val="36"/>
        </w:rPr>
        <w:t>vém verificar, também, o texto anterior, se revogado, e a histó</w:t>
      </w:r>
      <w:r w:rsidR="007C2439" w:rsidRPr="00973025">
        <w:rPr>
          <w:sz w:val="36"/>
          <w:szCs w:val="36"/>
        </w:rPr>
        <w:t>r</w:t>
      </w:r>
      <w:r w:rsidR="004A1688" w:rsidRPr="00973025">
        <w:rPr>
          <w:sz w:val="36"/>
          <w:szCs w:val="36"/>
        </w:rPr>
        <w:t>ia da disposição</w:t>
      </w:r>
      <w:r w:rsidR="007C2439" w:rsidRPr="00973025">
        <w:rPr>
          <w:sz w:val="36"/>
          <w:szCs w:val="36"/>
        </w:rPr>
        <w:t>.</w:t>
      </w:r>
      <w:proofErr w:type="gramEnd"/>
      <w:r w:rsidR="007C2439" w:rsidRPr="00973025">
        <w:rPr>
          <w:sz w:val="36"/>
          <w:szCs w:val="36"/>
        </w:rPr>
        <w:t xml:space="preserve">  </w:t>
      </w:r>
      <w:proofErr w:type="gramStart"/>
      <w:r w:rsidR="007C2439" w:rsidRPr="00973025">
        <w:rPr>
          <w:sz w:val="36"/>
          <w:szCs w:val="36"/>
        </w:rPr>
        <w:t>Esse esforço será aclarador”</w:t>
      </w:r>
      <w:proofErr w:type="gramEnd"/>
      <w:r w:rsidR="007C2439" w:rsidRPr="00973025">
        <w:rPr>
          <w:sz w:val="36"/>
          <w:szCs w:val="36"/>
        </w:rPr>
        <w:t xml:space="preserve">.  “Os textos legais anteriores a LC 109/01 são a Lei 6435/77, a Lei 6462/77 e a Lei 8020/90”. </w:t>
      </w:r>
    </w:p>
    <w:p w:rsidR="00F35878" w:rsidRPr="00973025" w:rsidRDefault="007C2439" w:rsidP="005B67AB">
      <w:pPr>
        <w:ind w:left="0" w:firstLine="1276"/>
        <w:rPr>
          <w:sz w:val="36"/>
          <w:szCs w:val="36"/>
        </w:rPr>
      </w:pPr>
      <w:r w:rsidRPr="00973025">
        <w:rPr>
          <w:sz w:val="36"/>
          <w:szCs w:val="36"/>
        </w:rPr>
        <w:t xml:space="preserve">“O artigo 46 da lei 6435/77, dispõe sobre o </w:t>
      </w:r>
      <w:proofErr w:type="gramStart"/>
      <w:r w:rsidRPr="00973025">
        <w:rPr>
          <w:sz w:val="36"/>
          <w:szCs w:val="36"/>
        </w:rPr>
        <w:t>seguinte :</w:t>
      </w:r>
      <w:proofErr w:type="gramEnd"/>
      <w:r w:rsidRPr="00973025">
        <w:rPr>
          <w:sz w:val="36"/>
          <w:szCs w:val="36"/>
        </w:rPr>
        <w:t xml:space="preserve"> nas entidades fechadas o resultado do exercício, satisfeitas todas as exigências legais e regulamentares no que se refere aos benefícios, será destinado a constituição de uma reserva de contingência de benef</w:t>
      </w:r>
      <w:r w:rsidR="00F35878" w:rsidRPr="00973025">
        <w:rPr>
          <w:sz w:val="36"/>
          <w:szCs w:val="36"/>
        </w:rPr>
        <w:t>í</w:t>
      </w:r>
      <w:r w:rsidRPr="00973025">
        <w:rPr>
          <w:sz w:val="36"/>
          <w:szCs w:val="36"/>
        </w:rPr>
        <w:t xml:space="preserve">cios até o limite de 25% (vinte e cinco por cento) do valor da reserva matemática; e , havendo sobra, ao reajustamento de benefícios acima dos valores estipulados nos </w:t>
      </w:r>
      <w:r w:rsidRPr="00973025">
        <w:rPr>
          <w:rFonts w:cstheme="minorHAnsi"/>
          <w:sz w:val="36"/>
          <w:szCs w:val="36"/>
        </w:rPr>
        <w:t>§§</w:t>
      </w:r>
      <w:r w:rsidRPr="00973025">
        <w:rPr>
          <w:sz w:val="36"/>
          <w:szCs w:val="36"/>
        </w:rPr>
        <w:t xml:space="preserve"> 1º e 2º do artigo 42, liberando, se for o caso, parcial ou totalmente, as patrocinadoras do compromisso previsto no parágrafo 3º do mesmo artigo”.   </w:t>
      </w:r>
    </w:p>
    <w:p w:rsidR="003E2528" w:rsidRPr="00973025" w:rsidRDefault="0070284F" w:rsidP="005B67AB">
      <w:pPr>
        <w:ind w:left="0" w:firstLine="1276"/>
        <w:rPr>
          <w:sz w:val="36"/>
          <w:szCs w:val="36"/>
        </w:rPr>
      </w:pPr>
      <w:r w:rsidRPr="00973025">
        <w:rPr>
          <w:sz w:val="36"/>
          <w:szCs w:val="36"/>
        </w:rPr>
        <w:t>“</w:t>
      </w:r>
      <w:r w:rsidR="007C2439" w:rsidRPr="00973025">
        <w:rPr>
          <w:sz w:val="36"/>
          <w:szCs w:val="36"/>
        </w:rPr>
        <w:t>Atende bem, prezado leitor, o que a Lei 6435 chamava se SOBRA (claro,</w:t>
      </w:r>
      <w:r w:rsidR="00F35878" w:rsidRPr="00973025">
        <w:rPr>
          <w:sz w:val="36"/>
          <w:szCs w:val="36"/>
        </w:rPr>
        <w:t xml:space="preserve"> </w:t>
      </w:r>
      <w:r w:rsidR="007C2439" w:rsidRPr="00973025">
        <w:rPr>
          <w:sz w:val="36"/>
          <w:szCs w:val="36"/>
        </w:rPr>
        <w:t>sobra de reservas) a LC 109/01 chama textualmente, propositadamente, de RESERVA (Reserva Especial).</w:t>
      </w:r>
      <w:proofErr w:type="gramStart"/>
      <w:r w:rsidR="007C2439" w:rsidRPr="00973025">
        <w:rPr>
          <w:sz w:val="36"/>
          <w:szCs w:val="36"/>
        </w:rPr>
        <w:t xml:space="preserve">  </w:t>
      </w:r>
      <w:proofErr w:type="gramEnd"/>
      <w:r w:rsidR="007C2439" w:rsidRPr="00973025">
        <w:rPr>
          <w:sz w:val="36"/>
          <w:szCs w:val="36"/>
        </w:rPr>
        <w:t xml:space="preserve">Qual é o propósito ? Evidentemente que não pode ser outro: afirmar que estes valores excedentes de 25%  das reservas matemáticas são </w:t>
      </w:r>
      <w:r w:rsidR="00F35878" w:rsidRPr="00973025">
        <w:rPr>
          <w:sz w:val="36"/>
          <w:szCs w:val="36"/>
        </w:rPr>
        <w:t xml:space="preserve">tão RESERVAS quanto as </w:t>
      </w:r>
      <w:r w:rsidR="00F35878" w:rsidRPr="00973025">
        <w:rPr>
          <w:sz w:val="36"/>
          <w:szCs w:val="36"/>
        </w:rPr>
        <w:lastRenderedPageBreak/>
        <w:t xml:space="preserve">reservas matemáticas, que são separados para serem gastos, </w:t>
      </w:r>
      <w:r w:rsidR="00A54C37">
        <w:rPr>
          <w:sz w:val="36"/>
          <w:szCs w:val="36"/>
        </w:rPr>
        <w:t>p</w:t>
      </w:r>
      <w:r w:rsidR="00F35878" w:rsidRPr="00973025">
        <w:rPr>
          <w:sz w:val="36"/>
          <w:szCs w:val="36"/>
        </w:rPr>
        <w:t>ortanto,  da mesma forma no pagamento de benefícios previdenciários</w:t>
      </w:r>
      <w:r w:rsidRPr="00973025">
        <w:rPr>
          <w:sz w:val="36"/>
          <w:szCs w:val="36"/>
        </w:rPr>
        <w:t>”</w:t>
      </w:r>
      <w:r w:rsidR="00F35878" w:rsidRPr="00973025">
        <w:rPr>
          <w:sz w:val="36"/>
          <w:szCs w:val="36"/>
        </w:rPr>
        <w:t xml:space="preserve">. </w:t>
      </w:r>
    </w:p>
    <w:p w:rsidR="007C2439" w:rsidRPr="00973025" w:rsidRDefault="0070284F" w:rsidP="005B67AB">
      <w:pPr>
        <w:ind w:left="0" w:firstLine="1276"/>
        <w:rPr>
          <w:sz w:val="36"/>
          <w:szCs w:val="36"/>
        </w:rPr>
      </w:pPr>
      <w:r w:rsidRPr="00973025">
        <w:rPr>
          <w:sz w:val="36"/>
          <w:szCs w:val="36"/>
        </w:rPr>
        <w:t>“A Lei 6435/77 era tão rigorosa nessa matéria que até essa SOBRA (o excesso sobre 25% do valor das reservas matemáticas) no Plano de Benefícios das</w:t>
      </w:r>
      <w:proofErr w:type="gramStart"/>
      <w:r w:rsidRPr="00973025">
        <w:rPr>
          <w:sz w:val="36"/>
          <w:szCs w:val="36"/>
        </w:rPr>
        <w:t xml:space="preserve">  </w:t>
      </w:r>
      <w:proofErr w:type="gramEnd"/>
      <w:r w:rsidRPr="00973025">
        <w:rPr>
          <w:sz w:val="36"/>
          <w:szCs w:val="36"/>
        </w:rPr>
        <w:t>EAPC (EPC capitalista, empresa, sociedade com fins lucrativos) a Lei mandava fosse gasta em beneficio dos participantes exclusivamente</w:t>
      </w:r>
      <w:r w:rsidR="00F04D84" w:rsidRPr="00973025">
        <w:rPr>
          <w:sz w:val="36"/>
          <w:szCs w:val="36"/>
        </w:rPr>
        <w:t>: artigo 23. Nas entidades abertas sem fins lucrativos, o resultado do exercício, satisfeitas todas as exigências legais e regulamentares no que se refere aos benefícios, será destinado a constituição de uma reserva de Contingência de benefícios, e, se ainda houver sobra, a programas culturais de assistência aos participantes, aprovados pelo órgãos normativo do Sistema Nacional de Seguros Privados”.</w:t>
      </w:r>
    </w:p>
    <w:p w:rsidR="0014679E" w:rsidRPr="00973025" w:rsidRDefault="0014679E" w:rsidP="005B67AB">
      <w:pPr>
        <w:ind w:left="0" w:firstLine="1276"/>
        <w:rPr>
          <w:sz w:val="36"/>
          <w:szCs w:val="36"/>
        </w:rPr>
      </w:pPr>
      <w:proofErr w:type="gramStart"/>
      <w:r w:rsidRPr="00973025">
        <w:rPr>
          <w:sz w:val="36"/>
          <w:szCs w:val="36"/>
        </w:rPr>
        <w:t>“A Lei 6462/77 somente alterou a Lei 6435/77</w:t>
      </w:r>
      <w:r w:rsidR="000477C6" w:rsidRPr="00973025">
        <w:rPr>
          <w:sz w:val="36"/>
          <w:szCs w:val="36"/>
        </w:rPr>
        <w:t xml:space="preserve"> neste pormenor: o aumento do valor do benefício não poderia ser permanente, mas temporário.</w:t>
      </w:r>
      <w:proofErr w:type="gramEnd"/>
      <w:r w:rsidR="000477C6" w:rsidRPr="00973025">
        <w:rPr>
          <w:sz w:val="36"/>
          <w:szCs w:val="36"/>
        </w:rPr>
        <w:t xml:space="preserve"> O artigo 3º da lei 8020/90 (válida somente para EFPC com patrocinador estatal ou ligado a entidade estatal), sem perceber que a redução ou mesmo suspensão de contribuição rigorosamente falando-se não equilibra plano de benefício desequilibrado por excesso de reservas, mandou que a SOBRA DE RESERVAS excedente ao excesso de 25% das reservas matemáticas fosse aplicada na “redução das taxas de contribuições das patrocinadoras e dos participantes na proporção em que contribuírem para o custeio”. </w:t>
      </w:r>
    </w:p>
    <w:p w:rsidR="00F57EA5" w:rsidRPr="00973025" w:rsidRDefault="00F57EA5" w:rsidP="005B67AB">
      <w:pPr>
        <w:ind w:left="0" w:firstLine="1276"/>
        <w:rPr>
          <w:sz w:val="36"/>
          <w:szCs w:val="36"/>
        </w:rPr>
      </w:pPr>
      <w:r w:rsidRPr="00973025">
        <w:rPr>
          <w:sz w:val="36"/>
          <w:szCs w:val="36"/>
        </w:rPr>
        <w:t>“</w:t>
      </w:r>
      <w:r w:rsidR="00094C8C" w:rsidRPr="00973025">
        <w:rPr>
          <w:sz w:val="36"/>
          <w:szCs w:val="36"/>
        </w:rPr>
        <w:t>Redução de contribuição evita que o excesso de reserva seja aumentado ou que o efeito equilibrador dos GASTOS de reservas seja anulado.</w:t>
      </w:r>
      <w:proofErr w:type="gramStart"/>
      <w:r w:rsidR="00094C8C" w:rsidRPr="00973025">
        <w:rPr>
          <w:sz w:val="36"/>
          <w:szCs w:val="36"/>
        </w:rPr>
        <w:t xml:space="preserve">  </w:t>
      </w:r>
      <w:proofErr w:type="gramEnd"/>
      <w:r w:rsidR="00094C8C" w:rsidRPr="00973025">
        <w:rPr>
          <w:sz w:val="36"/>
          <w:szCs w:val="36"/>
        </w:rPr>
        <w:t xml:space="preserve">O que, de fato, equilibra um plano de benefícios desequilibrado por excesso de </w:t>
      </w:r>
      <w:r w:rsidR="00094C8C" w:rsidRPr="00973025">
        <w:rPr>
          <w:sz w:val="36"/>
          <w:szCs w:val="36"/>
        </w:rPr>
        <w:lastRenderedPageBreak/>
        <w:t>reservas previdenciárias é o  gasto das reservas.  Claro a redução da contribuição é uma medida que merece ser tomada para equilibrar um pl</w:t>
      </w:r>
      <w:r w:rsidRPr="00973025">
        <w:rPr>
          <w:sz w:val="36"/>
          <w:szCs w:val="36"/>
        </w:rPr>
        <w:t>ano de benefícios superavitário. É uma medida equilibradora.  Mas o é indiretamente, porque permite que os Gastos de Reservas (essa, sim, a medida propriamente equilibradora) atuem com total eficiência equilibradora”.</w:t>
      </w:r>
    </w:p>
    <w:p w:rsidR="000479AB" w:rsidRPr="00973025" w:rsidRDefault="00272F33" w:rsidP="005B67AB">
      <w:pPr>
        <w:ind w:left="0" w:firstLine="1276"/>
        <w:rPr>
          <w:sz w:val="36"/>
          <w:szCs w:val="36"/>
        </w:rPr>
      </w:pPr>
      <w:r w:rsidRPr="00973025">
        <w:rPr>
          <w:sz w:val="36"/>
          <w:szCs w:val="36"/>
        </w:rPr>
        <w:t>“Contata-se, assim, utilizando-se essa</w:t>
      </w:r>
      <w:r w:rsidR="00D73E48" w:rsidRPr="00973025">
        <w:rPr>
          <w:sz w:val="36"/>
          <w:szCs w:val="36"/>
        </w:rPr>
        <w:t xml:space="preserve"> norma</w:t>
      </w:r>
      <w:r w:rsidRPr="00973025">
        <w:rPr>
          <w:sz w:val="36"/>
          <w:szCs w:val="36"/>
        </w:rPr>
        <w:t xml:space="preserve"> hermenêutica jurídica indicad</w:t>
      </w:r>
      <w:r w:rsidR="000479AB" w:rsidRPr="00973025">
        <w:rPr>
          <w:sz w:val="36"/>
          <w:szCs w:val="36"/>
        </w:rPr>
        <w:t>a</w:t>
      </w:r>
      <w:r w:rsidRPr="00973025">
        <w:rPr>
          <w:sz w:val="36"/>
          <w:szCs w:val="36"/>
        </w:rPr>
        <w:t xml:space="preserve"> pelo autor citado pela própria SPC</w:t>
      </w:r>
      <w:r w:rsidR="00D861C9" w:rsidRPr="00973025">
        <w:rPr>
          <w:sz w:val="36"/>
          <w:szCs w:val="36"/>
        </w:rPr>
        <w:t xml:space="preserve"> </w:t>
      </w:r>
      <w:r w:rsidR="00FB34B5" w:rsidRPr="00973025">
        <w:rPr>
          <w:sz w:val="36"/>
          <w:szCs w:val="36"/>
        </w:rPr>
        <w:t>(</w:t>
      </w:r>
      <w:r w:rsidR="00B16F13" w:rsidRPr="00973025">
        <w:rPr>
          <w:sz w:val="36"/>
          <w:szCs w:val="36"/>
        </w:rPr>
        <w:t xml:space="preserve">hoje </w:t>
      </w:r>
      <w:r w:rsidR="00FB34B5" w:rsidRPr="00973025">
        <w:rPr>
          <w:sz w:val="36"/>
          <w:szCs w:val="36"/>
        </w:rPr>
        <w:t>PREVIC)</w:t>
      </w:r>
      <w:r w:rsidRPr="00973025">
        <w:rPr>
          <w:sz w:val="36"/>
          <w:szCs w:val="36"/>
        </w:rPr>
        <w:t>, que a Lei 109/01 só admite duas formas de equilibrar um plano de benefícios superavitários: reduzindo as contribuições e aumentando o valor dos benefícios previdenciários”.</w:t>
      </w:r>
      <w:r w:rsidR="00C810B7" w:rsidRPr="00973025">
        <w:rPr>
          <w:sz w:val="36"/>
          <w:szCs w:val="36"/>
        </w:rPr>
        <w:t xml:space="preserve"> </w:t>
      </w:r>
      <w:r w:rsidR="00D73E48" w:rsidRPr="00973025">
        <w:rPr>
          <w:sz w:val="36"/>
          <w:szCs w:val="36"/>
        </w:rPr>
        <w:t xml:space="preserve"> Fica, assim, também EVIDENTE</w:t>
      </w:r>
      <w:proofErr w:type="gramStart"/>
      <w:r w:rsidR="00D73E48" w:rsidRPr="00973025">
        <w:rPr>
          <w:sz w:val="36"/>
          <w:szCs w:val="36"/>
        </w:rPr>
        <w:t xml:space="preserve">  </w:t>
      </w:r>
      <w:proofErr w:type="gramEnd"/>
      <w:r w:rsidR="00D73E48" w:rsidRPr="00973025">
        <w:rPr>
          <w:sz w:val="36"/>
          <w:szCs w:val="36"/>
        </w:rPr>
        <w:t xml:space="preserve">que afirmar que a LC 109/01 é incompleta raia os limites da ignorância porque, de fato, NÃO EXISTE OUTRA FORMA DE EQUILIBRAR UM PLANO DE BENEFÍCIOS SUPERAVITÁRIO SENÃO GASTANDO AS RESERVAS. </w:t>
      </w:r>
    </w:p>
    <w:p w:rsidR="0065615C" w:rsidRPr="00973025" w:rsidRDefault="0065615C" w:rsidP="005B67AB">
      <w:pPr>
        <w:ind w:left="0" w:firstLine="1276"/>
        <w:rPr>
          <w:sz w:val="36"/>
          <w:szCs w:val="36"/>
        </w:rPr>
      </w:pPr>
      <w:r w:rsidRPr="00973025">
        <w:rPr>
          <w:sz w:val="36"/>
          <w:szCs w:val="36"/>
        </w:rPr>
        <w:t>-----</w:t>
      </w:r>
    </w:p>
    <w:p w:rsidR="008B28AB" w:rsidRPr="00973025" w:rsidRDefault="000077BE" w:rsidP="00A51781">
      <w:pPr>
        <w:ind w:left="0" w:firstLine="1701"/>
        <w:rPr>
          <w:sz w:val="36"/>
          <w:szCs w:val="36"/>
        </w:rPr>
      </w:pPr>
      <w:r w:rsidRPr="00973025">
        <w:rPr>
          <w:sz w:val="36"/>
          <w:szCs w:val="36"/>
        </w:rPr>
        <w:t>I</w:t>
      </w:r>
      <w:r w:rsidR="00964A92" w:rsidRPr="00973025">
        <w:rPr>
          <w:sz w:val="36"/>
          <w:szCs w:val="36"/>
        </w:rPr>
        <w:t>ntroduzid</w:t>
      </w:r>
      <w:r w:rsidRPr="00973025">
        <w:rPr>
          <w:sz w:val="36"/>
          <w:szCs w:val="36"/>
        </w:rPr>
        <w:t>a que foi</w:t>
      </w:r>
      <w:r w:rsidR="00F17103" w:rsidRPr="00973025">
        <w:rPr>
          <w:sz w:val="36"/>
          <w:szCs w:val="36"/>
        </w:rPr>
        <w:t xml:space="preserve"> na</w:t>
      </w:r>
      <w:r w:rsidR="00DA7111" w:rsidRPr="00973025">
        <w:rPr>
          <w:sz w:val="36"/>
          <w:szCs w:val="36"/>
        </w:rPr>
        <w:t xml:space="preserve"> citada r</w:t>
      </w:r>
      <w:r w:rsidR="00F17103" w:rsidRPr="00973025">
        <w:rPr>
          <w:sz w:val="36"/>
          <w:szCs w:val="36"/>
        </w:rPr>
        <w:t>esolução</w:t>
      </w:r>
      <w:r w:rsidR="00DA7111" w:rsidRPr="00973025">
        <w:rPr>
          <w:sz w:val="36"/>
          <w:szCs w:val="36"/>
        </w:rPr>
        <w:t>,</w:t>
      </w:r>
      <w:r w:rsidR="00F17103" w:rsidRPr="00973025">
        <w:rPr>
          <w:sz w:val="36"/>
          <w:szCs w:val="36"/>
        </w:rPr>
        <w:t xml:space="preserve"> </w:t>
      </w:r>
      <w:r w:rsidR="00327EE5" w:rsidRPr="00973025">
        <w:rPr>
          <w:sz w:val="36"/>
          <w:szCs w:val="36"/>
        </w:rPr>
        <w:t>a “reversão de valores”</w:t>
      </w:r>
      <w:r w:rsidRPr="00973025">
        <w:rPr>
          <w:sz w:val="36"/>
          <w:szCs w:val="36"/>
        </w:rPr>
        <w:t xml:space="preserve"> </w:t>
      </w:r>
      <w:r w:rsidR="00A51781">
        <w:rPr>
          <w:sz w:val="36"/>
          <w:szCs w:val="36"/>
        </w:rPr>
        <w:t>atendeu a solicitações que favorece o interesse d</w:t>
      </w:r>
      <w:r w:rsidR="00243970" w:rsidRPr="00973025">
        <w:rPr>
          <w:sz w:val="36"/>
          <w:szCs w:val="36"/>
        </w:rPr>
        <w:t>a ficção jurídica que é a empresa patrocinadora</w:t>
      </w:r>
      <w:r w:rsidR="00A53BCF" w:rsidRPr="00973025">
        <w:rPr>
          <w:sz w:val="36"/>
          <w:szCs w:val="36"/>
        </w:rPr>
        <w:t>, transformando-a</w:t>
      </w:r>
      <w:r w:rsidR="00431796" w:rsidRPr="00973025">
        <w:rPr>
          <w:sz w:val="36"/>
          <w:szCs w:val="36"/>
        </w:rPr>
        <w:t>,</w:t>
      </w:r>
      <w:r w:rsidR="00A53BCF" w:rsidRPr="00973025">
        <w:rPr>
          <w:sz w:val="36"/>
          <w:szCs w:val="36"/>
        </w:rPr>
        <w:t xml:space="preserve"> </w:t>
      </w:r>
      <w:r w:rsidR="008D20F4" w:rsidRPr="00973025">
        <w:rPr>
          <w:sz w:val="36"/>
          <w:szCs w:val="36"/>
        </w:rPr>
        <w:t>ilegalmente</w:t>
      </w:r>
      <w:r w:rsidR="00F17103" w:rsidRPr="00973025">
        <w:rPr>
          <w:sz w:val="36"/>
          <w:szCs w:val="36"/>
        </w:rPr>
        <w:t xml:space="preserve">, de patrocinadora </w:t>
      </w:r>
      <w:r w:rsidR="00A53BCF" w:rsidRPr="00973025">
        <w:rPr>
          <w:sz w:val="36"/>
          <w:szCs w:val="36"/>
        </w:rPr>
        <w:t>n</w:t>
      </w:r>
      <w:r w:rsidR="00F17103" w:rsidRPr="00973025">
        <w:rPr>
          <w:sz w:val="36"/>
          <w:szCs w:val="36"/>
        </w:rPr>
        <w:t>a</w:t>
      </w:r>
      <w:r w:rsidR="00A53BCF" w:rsidRPr="00973025">
        <w:rPr>
          <w:sz w:val="36"/>
          <w:szCs w:val="36"/>
        </w:rPr>
        <w:t xml:space="preserve"> maior beneficiári</w:t>
      </w:r>
      <w:r w:rsidR="00F17103" w:rsidRPr="00973025">
        <w:rPr>
          <w:sz w:val="36"/>
          <w:szCs w:val="36"/>
        </w:rPr>
        <w:t>a</w:t>
      </w:r>
      <w:r w:rsidR="00A53BCF" w:rsidRPr="00973025">
        <w:rPr>
          <w:sz w:val="36"/>
          <w:szCs w:val="36"/>
        </w:rPr>
        <w:t xml:space="preserve"> dos planos de benefícios </w:t>
      </w:r>
      <w:r w:rsidR="00641C78" w:rsidRPr="00973025">
        <w:rPr>
          <w:sz w:val="36"/>
          <w:szCs w:val="36"/>
        </w:rPr>
        <w:t xml:space="preserve">do sistema de previdência </w:t>
      </w:r>
      <w:r w:rsidR="00760A70" w:rsidRPr="00973025">
        <w:rPr>
          <w:sz w:val="36"/>
          <w:szCs w:val="36"/>
        </w:rPr>
        <w:t>c</w:t>
      </w:r>
      <w:r w:rsidR="00641C78" w:rsidRPr="00973025">
        <w:rPr>
          <w:sz w:val="36"/>
          <w:szCs w:val="36"/>
        </w:rPr>
        <w:t>omplementar</w:t>
      </w:r>
      <w:r w:rsidR="00A53BCF" w:rsidRPr="00973025">
        <w:rPr>
          <w:sz w:val="36"/>
          <w:szCs w:val="36"/>
        </w:rPr>
        <w:t>.</w:t>
      </w:r>
      <w:r w:rsidR="00602B40" w:rsidRPr="00973025">
        <w:rPr>
          <w:sz w:val="36"/>
          <w:szCs w:val="36"/>
        </w:rPr>
        <w:t xml:space="preserve"> Sim. Porque</w:t>
      </w:r>
      <w:r w:rsidR="008760D7" w:rsidRPr="00973025">
        <w:rPr>
          <w:sz w:val="36"/>
          <w:szCs w:val="36"/>
        </w:rPr>
        <w:t xml:space="preserve"> </w:t>
      </w:r>
      <w:r w:rsidR="008D20F4" w:rsidRPr="00973025">
        <w:rPr>
          <w:sz w:val="36"/>
          <w:szCs w:val="36"/>
        </w:rPr>
        <w:t xml:space="preserve">após </w:t>
      </w:r>
      <w:proofErr w:type="gramStart"/>
      <w:r w:rsidR="008760D7" w:rsidRPr="00973025">
        <w:rPr>
          <w:sz w:val="36"/>
          <w:szCs w:val="36"/>
        </w:rPr>
        <w:t>3</w:t>
      </w:r>
      <w:proofErr w:type="gramEnd"/>
      <w:r w:rsidR="008760D7" w:rsidRPr="00973025">
        <w:rPr>
          <w:sz w:val="36"/>
          <w:szCs w:val="36"/>
        </w:rPr>
        <w:t xml:space="preserve"> anos de sua constituição, sem ser utilizada</w:t>
      </w:r>
      <w:r w:rsidR="007F153D" w:rsidRPr="00973025">
        <w:rPr>
          <w:sz w:val="36"/>
          <w:szCs w:val="36"/>
        </w:rPr>
        <w:t xml:space="preserve"> para as finalidades previstas na legislação</w:t>
      </w:r>
      <w:r w:rsidR="008760D7" w:rsidRPr="00973025">
        <w:rPr>
          <w:sz w:val="36"/>
          <w:szCs w:val="36"/>
        </w:rPr>
        <w:t>, a</w:t>
      </w:r>
      <w:r w:rsidR="00602B40" w:rsidRPr="00973025">
        <w:rPr>
          <w:sz w:val="36"/>
          <w:szCs w:val="36"/>
        </w:rPr>
        <w:t xml:space="preserve"> </w:t>
      </w:r>
      <w:r w:rsidR="004D4A3A" w:rsidRPr="00973025">
        <w:rPr>
          <w:sz w:val="36"/>
          <w:szCs w:val="36"/>
        </w:rPr>
        <w:t xml:space="preserve">única </w:t>
      </w:r>
      <w:r w:rsidR="00D44DD8" w:rsidRPr="00973025">
        <w:rPr>
          <w:sz w:val="36"/>
          <w:szCs w:val="36"/>
        </w:rPr>
        <w:t xml:space="preserve">utilização </w:t>
      </w:r>
      <w:r w:rsidR="00602B40" w:rsidRPr="00973025">
        <w:rPr>
          <w:sz w:val="36"/>
          <w:szCs w:val="36"/>
        </w:rPr>
        <w:t>da Reserva Especial</w:t>
      </w:r>
      <w:r w:rsidR="004D4A3A" w:rsidRPr="00973025">
        <w:rPr>
          <w:sz w:val="36"/>
          <w:szCs w:val="36"/>
        </w:rPr>
        <w:t xml:space="preserve"> admitida pelo legislador </w:t>
      </w:r>
      <w:r w:rsidR="00F74B2C" w:rsidRPr="00973025">
        <w:rPr>
          <w:sz w:val="36"/>
          <w:szCs w:val="36"/>
        </w:rPr>
        <w:t xml:space="preserve"> </w:t>
      </w:r>
      <w:r w:rsidR="008760D7" w:rsidRPr="00973025">
        <w:rPr>
          <w:sz w:val="36"/>
          <w:szCs w:val="36"/>
        </w:rPr>
        <w:t>é a</w:t>
      </w:r>
      <w:r w:rsidR="00D44DD8" w:rsidRPr="00973025">
        <w:rPr>
          <w:sz w:val="36"/>
          <w:szCs w:val="36"/>
        </w:rPr>
        <w:t xml:space="preserve"> prevista</w:t>
      </w:r>
      <w:r w:rsidR="008760D7" w:rsidRPr="00973025">
        <w:rPr>
          <w:sz w:val="36"/>
          <w:szCs w:val="36"/>
        </w:rPr>
        <w:t xml:space="preserve"> </w:t>
      </w:r>
      <w:r w:rsidR="00D44DD8" w:rsidRPr="00973025">
        <w:rPr>
          <w:sz w:val="36"/>
          <w:szCs w:val="36"/>
        </w:rPr>
        <w:t xml:space="preserve">nos </w:t>
      </w:r>
      <w:r w:rsidR="00D44DD8" w:rsidRPr="00973025">
        <w:rPr>
          <w:rFonts w:cstheme="minorHAnsi"/>
          <w:sz w:val="36"/>
          <w:szCs w:val="36"/>
        </w:rPr>
        <w:t>§§</w:t>
      </w:r>
      <w:r w:rsidR="00D44DD8" w:rsidRPr="00973025">
        <w:rPr>
          <w:sz w:val="36"/>
          <w:szCs w:val="36"/>
        </w:rPr>
        <w:t xml:space="preserve"> 2º e 3º do artigo 20 da LC 109/01, para a revisão do Plano de Benefícios, </w:t>
      </w:r>
      <w:r w:rsidR="00412767" w:rsidRPr="00973025">
        <w:rPr>
          <w:sz w:val="36"/>
          <w:szCs w:val="36"/>
        </w:rPr>
        <w:t xml:space="preserve">via redução parcial ou integral das contribuições pessoais e patronais e criação de benefícios especiais temporários, sem “reversão de valores” em favor da empresa patrocinadora, como ilegal e abusivamente previsto nos artigos 19 e 20 da Resolução </w:t>
      </w:r>
      <w:r w:rsidR="00412767" w:rsidRPr="00973025">
        <w:rPr>
          <w:sz w:val="36"/>
          <w:szCs w:val="36"/>
        </w:rPr>
        <w:lastRenderedPageBreak/>
        <w:t>CGPC 26/08</w:t>
      </w:r>
      <w:r w:rsidR="00A51781">
        <w:rPr>
          <w:sz w:val="36"/>
          <w:szCs w:val="36"/>
        </w:rPr>
        <w:t>. Por isso mesmo, o objetivo do PDS 275 é o de sustar a vigência da “reversão de valores” por ser manifestação ilegal</w:t>
      </w:r>
      <w:r w:rsidR="00035ED5" w:rsidRPr="00973025">
        <w:rPr>
          <w:sz w:val="36"/>
          <w:szCs w:val="36"/>
        </w:rPr>
        <w:t xml:space="preserve">, a fim de </w:t>
      </w:r>
      <w:r w:rsidR="00033808" w:rsidRPr="00973025">
        <w:rPr>
          <w:sz w:val="36"/>
          <w:szCs w:val="36"/>
        </w:rPr>
        <w:t>restabelecer os fundamentos de solidariedade</w:t>
      </w:r>
      <w:r w:rsidR="00641C78" w:rsidRPr="00973025">
        <w:rPr>
          <w:sz w:val="36"/>
          <w:szCs w:val="36"/>
        </w:rPr>
        <w:t xml:space="preserve"> e de justiça social</w:t>
      </w:r>
      <w:r w:rsidR="00033808" w:rsidRPr="00973025">
        <w:rPr>
          <w:sz w:val="36"/>
          <w:szCs w:val="36"/>
        </w:rPr>
        <w:t xml:space="preserve"> do sistema fechado de previdência complementar sem fins mercantis</w:t>
      </w:r>
      <w:r w:rsidR="007B3BD3" w:rsidRPr="00973025">
        <w:rPr>
          <w:sz w:val="36"/>
          <w:szCs w:val="36"/>
        </w:rPr>
        <w:t>, agredido</w:t>
      </w:r>
      <w:r w:rsidR="00327EE5" w:rsidRPr="00973025">
        <w:rPr>
          <w:sz w:val="36"/>
          <w:szCs w:val="36"/>
        </w:rPr>
        <w:t xml:space="preserve"> frontalmente</w:t>
      </w:r>
      <w:r w:rsidR="007B3BD3" w:rsidRPr="00973025">
        <w:rPr>
          <w:sz w:val="36"/>
          <w:szCs w:val="36"/>
        </w:rPr>
        <w:t xml:space="preserve"> pela</w:t>
      </w:r>
      <w:r w:rsidR="00904905" w:rsidRPr="00973025">
        <w:rPr>
          <w:sz w:val="36"/>
          <w:szCs w:val="36"/>
        </w:rPr>
        <w:t xml:space="preserve"> forma atual da</w:t>
      </w:r>
      <w:r w:rsidR="007B3BD3" w:rsidRPr="00973025">
        <w:rPr>
          <w:sz w:val="36"/>
          <w:szCs w:val="36"/>
        </w:rPr>
        <w:t xml:space="preserve"> citada resolução </w:t>
      </w:r>
      <w:r w:rsidR="003E7A6B" w:rsidRPr="00973025">
        <w:rPr>
          <w:sz w:val="36"/>
          <w:szCs w:val="36"/>
        </w:rPr>
        <w:t>CGPC</w:t>
      </w:r>
      <w:r w:rsidR="007B3BD3" w:rsidRPr="00973025">
        <w:rPr>
          <w:sz w:val="36"/>
          <w:szCs w:val="36"/>
        </w:rPr>
        <w:t xml:space="preserve"> 26</w:t>
      </w:r>
      <w:r w:rsidR="00641C78" w:rsidRPr="00973025">
        <w:rPr>
          <w:sz w:val="36"/>
          <w:szCs w:val="36"/>
        </w:rPr>
        <w:t>.</w:t>
      </w:r>
    </w:p>
    <w:p w:rsidR="00760A70" w:rsidRDefault="00E35965" w:rsidP="002A1CAD">
      <w:pPr>
        <w:ind w:left="0" w:firstLine="1701"/>
        <w:rPr>
          <w:sz w:val="36"/>
          <w:szCs w:val="36"/>
        </w:rPr>
      </w:pPr>
      <w:r w:rsidRPr="00973025">
        <w:rPr>
          <w:sz w:val="36"/>
          <w:szCs w:val="36"/>
        </w:rPr>
        <w:t>A justificativa d</w:t>
      </w:r>
      <w:r w:rsidR="00083A14" w:rsidRPr="00973025">
        <w:rPr>
          <w:sz w:val="36"/>
          <w:szCs w:val="36"/>
        </w:rPr>
        <w:t>ess</w:t>
      </w:r>
      <w:r w:rsidRPr="00973025">
        <w:rPr>
          <w:sz w:val="36"/>
          <w:szCs w:val="36"/>
        </w:rPr>
        <w:t>a Resolução</w:t>
      </w:r>
      <w:r w:rsidR="00602B40" w:rsidRPr="00973025">
        <w:rPr>
          <w:sz w:val="36"/>
          <w:szCs w:val="36"/>
        </w:rPr>
        <w:t xml:space="preserve"> </w:t>
      </w:r>
      <w:r w:rsidRPr="00973025">
        <w:rPr>
          <w:sz w:val="36"/>
          <w:szCs w:val="36"/>
        </w:rPr>
        <w:t xml:space="preserve">consta </w:t>
      </w:r>
      <w:r w:rsidR="00083A14" w:rsidRPr="00973025">
        <w:rPr>
          <w:sz w:val="36"/>
          <w:szCs w:val="36"/>
        </w:rPr>
        <w:t>d</w:t>
      </w:r>
      <w:r w:rsidR="00602B40" w:rsidRPr="00973025">
        <w:rPr>
          <w:sz w:val="36"/>
          <w:szCs w:val="36"/>
        </w:rPr>
        <w:t xml:space="preserve">a </w:t>
      </w:r>
      <w:r w:rsidRPr="00973025">
        <w:rPr>
          <w:sz w:val="36"/>
          <w:szCs w:val="36"/>
        </w:rPr>
        <w:t>exposição de motivos</w:t>
      </w:r>
      <w:proofErr w:type="gramStart"/>
      <w:r w:rsidRPr="00973025">
        <w:rPr>
          <w:sz w:val="36"/>
          <w:szCs w:val="36"/>
        </w:rPr>
        <w:t xml:space="preserve">  </w:t>
      </w:r>
      <w:proofErr w:type="gramEnd"/>
      <w:r w:rsidRPr="00973025">
        <w:rPr>
          <w:sz w:val="36"/>
          <w:szCs w:val="36"/>
        </w:rPr>
        <w:t>“como necessária para regulamentar os artigos 7º, 18, 20, 21 e 22 da LC 109/2001”.</w:t>
      </w:r>
      <w:r w:rsidR="002A16DF">
        <w:rPr>
          <w:sz w:val="36"/>
          <w:szCs w:val="36"/>
        </w:rPr>
        <w:t xml:space="preserve"> Entretanto, a leitura atenta dessa justificativa </w:t>
      </w:r>
      <w:r w:rsidR="00CC1453">
        <w:rPr>
          <w:sz w:val="36"/>
          <w:szCs w:val="36"/>
        </w:rPr>
        <w:t xml:space="preserve">-, </w:t>
      </w:r>
      <w:proofErr w:type="gramStart"/>
      <w:r w:rsidR="00CC1453">
        <w:rPr>
          <w:sz w:val="36"/>
          <w:szCs w:val="36"/>
        </w:rPr>
        <w:t>dai</w:t>
      </w:r>
      <w:proofErr w:type="gramEnd"/>
      <w:r w:rsidR="00CC1453">
        <w:rPr>
          <w:sz w:val="36"/>
          <w:szCs w:val="36"/>
        </w:rPr>
        <w:t xml:space="preserve"> a importância da leitura atenta de um texto</w:t>
      </w:r>
      <w:r w:rsidR="0095658F">
        <w:rPr>
          <w:sz w:val="36"/>
          <w:szCs w:val="36"/>
        </w:rPr>
        <w:t>,</w:t>
      </w:r>
      <w:r w:rsidR="00CC1453">
        <w:rPr>
          <w:sz w:val="36"/>
          <w:szCs w:val="36"/>
        </w:rPr>
        <w:t xml:space="preserve"> recomendada por </w:t>
      </w:r>
      <w:proofErr w:type="spellStart"/>
      <w:r w:rsidR="00CC1453">
        <w:rPr>
          <w:sz w:val="36"/>
          <w:szCs w:val="36"/>
        </w:rPr>
        <w:t>Wlademir</w:t>
      </w:r>
      <w:proofErr w:type="spellEnd"/>
      <w:r w:rsidR="00CC1453">
        <w:rPr>
          <w:sz w:val="36"/>
          <w:szCs w:val="36"/>
        </w:rPr>
        <w:t xml:space="preserve"> Novaes Martinez</w:t>
      </w:r>
      <w:r w:rsidR="0095658F">
        <w:rPr>
          <w:sz w:val="36"/>
          <w:szCs w:val="36"/>
        </w:rPr>
        <w:t xml:space="preserve"> no curso sobre a normas de hermenêutica -</w:t>
      </w:r>
      <w:r w:rsidR="00CC1453">
        <w:rPr>
          <w:sz w:val="36"/>
          <w:szCs w:val="36"/>
        </w:rPr>
        <w:t xml:space="preserve"> </w:t>
      </w:r>
      <w:r w:rsidR="002A16DF">
        <w:rPr>
          <w:sz w:val="36"/>
          <w:szCs w:val="36"/>
        </w:rPr>
        <w:t>possibilita a compreensão de que a verdadeira causa da instituição da reversão de valores é que ela se tornou “necessária para regulamentar o disposto nos artigos 20 e 21 da Lei Complementar número 109</w:t>
      </w:r>
      <w:r w:rsidR="00F011F6">
        <w:rPr>
          <w:sz w:val="36"/>
          <w:szCs w:val="36"/>
        </w:rPr>
        <w:t>, de 29 de maio de 2001, levando em consideração, em especial, os artigos 7º, 18 e 22 da citada norma, em virtude dos resultados obtidos nos últimos anos, sobretudo na aplicação dos recursos garantidores que possibilitaram expressivos superávits, cuja destinação necessita de parâmetros para preservar a solvência, a liquidez e o equilíbrio econômico-financeiro e atuarial dos planos de benefícios”.</w:t>
      </w:r>
    </w:p>
    <w:p w:rsidR="00F011F6" w:rsidRPr="00973025" w:rsidRDefault="00CC1453" w:rsidP="002A1CAD">
      <w:pPr>
        <w:ind w:left="0" w:firstLine="1701"/>
        <w:rPr>
          <w:sz w:val="36"/>
          <w:szCs w:val="36"/>
        </w:rPr>
      </w:pPr>
      <w:r>
        <w:rPr>
          <w:sz w:val="36"/>
          <w:szCs w:val="36"/>
        </w:rPr>
        <w:t>“</w:t>
      </w:r>
      <w:r w:rsidR="00F011F6">
        <w:rPr>
          <w:sz w:val="36"/>
          <w:szCs w:val="36"/>
        </w:rPr>
        <w:t>O assunto adquiriu especial relevância considerando, inclusive, a demanda junto à Secretária de Previdência Complementar, seja por meio de consultas ao Departamento de Legislação e Normas, de alterações regulamentares submetidas ao Departamento de Análises Técnicas ou pela própria necessidade de definição do tema sob a ótica de fiscalização dos planos de benefícios.</w:t>
      </w:r>
      <w:r>
        <w:rPr>
          <w:sz w:val="36"/>
          <w:szCs w:val="36"/>
        </w:rPr>
        <w:t>”</w:t>
      </w:r>
    </w:p>
    <w:p w:rsidR="000F71D3" w:rsidRPr="00973025" w:rsidRDefault="0095658F" w:rsidP="000F71D3">
      <w:pPr>
        <w:ind w:left="0" w:firstLine="1701"/>
        <w:rPr>
          <w:sz w:val="36"/>
          <w:szCs w:val="36"/>
        </w:rPr>
      </w:pPr>
      <w:r>
        <w:rPr>
          <w:sz w:val="36"/>
          <w:szCs w:val="36"/>
        </w:rPr>
        <w:t>O</w:t>
      </w:r>
      <w:r w:rsidR="00B309A0" w:rsidRPr="00973025">
        <w:rPr>
          <w:sz w:val="36"/>
          <w:szCs w:val="36"/>
        </w:rPr>
        <w:t xml:space="preserve"> </w:t>
      </w:r>
      <w:r w:rsidR="004A7C74" w:rsidRPr="00973025">
        <w:rPr>
          <w:sz w:val="36"/>
          <w:szCs w:val="36"/>
        </w:rPr>
        <w:t>caput d</w:t>
      </w:r>
      <w:r w:rsidR="00B309A0" w:rsidRPr="00973025">
        <w:rPr>
          <w:sz w:val="36"/>
          <w:szCs w:val="36"/>
        </w:rPr>
        <w:t>o artigo 20 da já citada Lei 109/2001, dispõe</w:t>
      </w:r>
      <w:r w:rsidR="00FF1F9E" w:rsidRPr="00973025">
        <w:rPr>
          <w:sz w:val="36"/>
          <w:szCs w:val="36"/>
        </w:rPr>
        <w:t xml:space="preserve"> que</w:t>
      </w:r>
      <w:r w:rsidR="004A7C74" w:rsidRPr="00973025">
        <w:rPr>
          <w:sz w:val="36"/>
          <w:szCs w:val="36"/>
        </w:rPr>
        <w:t xml:space="preserve">, na hipótese de superávit, satisfeitas as exigências </w:t>
      </w:r>
      <w:r w:rsidR="004A7C74" w:rsidRPr="00973025">
        <w:rPr>
          <w:sz w:val="36"/>
          <w:szCs w:val="36"/>
        </w:rPr>
        <w:lastRenderedPageBreak/>
        <w:t xml:space="preserve">regulamentares, o excedente será </w:t>
      </w:r>
      <w:r w:rsidR="00B309A0" w:rsidRPr="00973025">
        <w:rPr>
          <w:sz w:val="36"/>
          <w:szCs w:val="36"/>
        </w:rPr>
        <w:t xml:space="preserve">destinado </w:t>
      </w:r>
      <w:proofErr w:type="gramStart"/>
      <w:r w:rsidR="00B309A0" w:rsidRPr="00973025">
        <w:rPr>
          <w:sz w:val="36"/>
          <w:szCs w:val="36"/>
        </w:rPr>
        <w:t>a</w:t>
      </w:r>
      <w:proofErr w:type="gramEnd"/>
      <w:r w:rsidR="00B309A0" w:rsidRPr="00973025">
        <w:rPr>
          <w:sz w:val="36"/>
          <w:szCs w:val="36"/>
        </w:rPr>
        <w:t xml:space="preserve"> constituição de </w:t>
      </w:r>
      <w:r w:rsidR="004A7C74" w:rsidRPr="00973025">
        <w:rPr>
          <w:sz w:val="36"/>
          <w:szCs w:val="36"/>
        </w:rPr>
        <w:t>R</w:t>
      </w:r>
      <w:r w:rsidR="00B309A0" w:rsidRPr="00973025">
        <w:rPr>
          <w:sz w:val="36"/>
          <w:szCs w:val="36"/>
        </w:rPr>
        <w:t xml:space="preserve">eserva de </w:t>
      </w:r>
      <w:r w:rsidR="004A7C74" w:rsidRPr="00973025">
        <w:rPr>
          <w:sz w:val="36"/>
          <w:szCs w:val="36"/>
        </w:rPr>
        <w:t>C</w:t>
      </w:r>
      <w:r w:rsidR="00B309A0" w:rsidRPr="00973025">
        <w:rPr>
          <w:sz w:val="36"/>
          <w:szCs w:val="36"/>
        </w:rPr>
        <w:t>ontingência, para garantia de benefícios até o limite de 25% do valor das reservas matemáticas</w:t>
      </w:r>
      <w:r w:rsidR="00FF1F9E" w:rsidRPr="00973025">
        <w:rPr>
          <w:sz w:val="36"/>
          <w:szCs w:val="36"/>
        </w:rPr>
        <w:t>.</w:t>
      </w:r>
      <w:r w:rsidR="00947E62" w:rsidRPr="00973025">
        <w:rPr>
          <w:sz w:val="36"/>
          <w:szCs w:val="36"/>
        </w:rPr>
        <w:t xml:space="preserve"> Constituída </w:t>
      </w:r>
      <w:r w:rsidR="004A7C74" w:rsidRPr="00973025">
        <w:rPr>
          <w:sz w:val="36"/>
          <w:szCs w:val="36"/>
        </w:rPr>
        <w:t>a Reserva de Contingência (</w:t>
      </w:r>
      <w:r w:rsidR="00AB176F" w:rsidRPr="00973025">
        <w:rPr>
          <w:rFonts w:cstheme="minorHAnsi"/>
          <w:sz w:val="36"/>
          <w:szCs w:val="36"/>
        </w:rPr>
        <w:t>§</w:t>
      </w:r>
      <w:r w:rsidR="004A7C74" w:rsidRPr="00973025">
        <w:rPr>
          <w:sz w:val="36"/>
          <w:szCs w:val="36"/>
        </w:rPr>
        <w:t xml:space="preserve"> 1º)</w:t>
      </w:r>
      <w:r w:rsidR="00947E62" w:rsidRPr="00973025">
        <w:rPr>
          <w:sz w:val="36"/>
          <w:szCs w:val="36"/>
        </w:rPr>
        <w:t>,</w:t>
      </w:r>
      <w:r w:rsidR="00C461D6" w:rsidRPr="00973025">
        <w:rPr>
          <w:sz w:val="36"/>
          <w:szCs w:val="36"/>
        </w:rPr>
        <w:t xml:space="preserve"> </w:t>
      </w:r>
      <w:r w:rsidR="000F71D3" w:rsidRPr="00973025">
        <w:rPr>
          <w:sz w:val="36"/>
          <w:szCs w:val="36"/>
        </w:rPr>
        <w:t xml:space="preserve">com </w:t>
      </w:r>
      <w:r w:rsidR="00C461D6" w:rsidRPr="00973025">
        <w:rPr>
          <w:sz w:val="36"/>
          <w:szCs w:val="36"/>
        </w:rPr>
        <w:t xml:space="preserve">os valores excedentes será constituída a Reserva Especial do plano de benefícios. </w:t>
      </w:r>
      <w:r w:rsidR="000F71D3" w:rsidRPr="00973025">
        <w:rPr>
          <w:sz w:val="36"/>
          <w:szCs w:val="36"/>
        </w:rPr>
        <w:t xml:space="preserve"> A não utilização da reserva especial por </w:t>
      </w:r>
      <w:proofErr w:type="gramStart"/>
      <w:r w:rsidR="000F71D3" w:rsidRPr="00973025">
        <w:rPr>
          <w:sz w:val="36"/>
          <w:szCs w:val="36"/>
        </w:rPr>
        <w:t>3</w:t>
      </w:r>
      <w:proofErr w:type="gramEnd"/>
      <w:r w:rsidR="000F71D3" w:rsidRPr="00973025">
        <w:rPr>
          <w:sz w:val="36"/>
          <w:szCs w:val="36"/>
        </w:rPr>
        <w:t xml:space="preserve"> exercícios consecutivos (</w:t>
      </w:r>
      <w:r w:rsidR="000F71D3" w:rsidRPr="00973025">
        <w:rPr>
          <w:rFonts w:cstheme="minorHAnsi"/>
          <w:sz w:val="36"/>
          <w:szCs w:val="36"/>
        </w:rPr>
        <w:t>§</w:t>
      </w:r>
      <w:r w:rsidR="000F71D3" w:rsidRPr="00973025">
        <w:rPr>
          <w:sz w:val="36"/>
          <w:szCs w:val="36"/>
        </w:rPr>
        <w:t xml:space="preserve"> 2º) determinará a revisão obrigatória do plano de benefícios da entidade.  Se a revisão do plano de benefício</w:t>
      </w:r>
      <w:r w:rsidR="00947E62" w:rsidRPr="00973025">
        <w:rPr>
          <w:sz w:val="36"/>
          <w:szCs w:val="36"/>
        </w:rPr>
        <w:t>s</w:t>
      </w:r>
      <w:r w:rsidR="000F71D3" w:rsidRPr="00973025">
        <w:rPr>
          <w:sz w:val="36"/>
          <w:szCs w:val="36"/>
        </w:rPr>
        <w:t xml:space="preserve"> </w:t>
      </w:r>
      <w:proofErr w:type="gramStart"/>
      <w:r w:rsidR="000F71D3" w:rsidRPr="00973025">
        <w:rPr>
          <w:sz w:val="36"/>
          <w:szCs w:val="36"/>
        </w:rPr>
        <w:t>implicar</w:t>
      </w:r>
      <w:proofErr w:type="gramEnd"/>
      <w:r w:rsidR="000F71D3" w:rsidRPr="00973025">
        <w:rPr>
          <w:sz w:val="36"/>
          <w:szCs w:val="36"/>
        </w:rPr>
        <w:t xml:space="preserve"> em redução de contribuições (</w:t>
      </w:r>
      <w:r w:rsidR="000F71D3" w:rsidRPr="00973025">
        <w:rPr>
          <w:rFonts w:cstheme="minorHAnsi"/>
          <w:sz w:val="36"/>
          <w:szCs w:val="36"/>
        </w:rPr>
        <w:t>§</w:t>
      </w:r>
      <w:r w:rsidR="000F71D3" w:rsidRPr="00973025">
        <w:rPr>
          <w:sz w:val="36"/>
          <w:szCs w:val="36"/>
        </w:rPr>
        <w:t xml:space="preserve"> 3º) deverá ser levada em consideração a proporção existente entre as contribuições dos patrocinadores e dos participantes, inclusive dos assistidos.</w:t>
      </w:r>
    </w:p>
    <w:p w:rsidR="00F6773C" w:rsidRPr="00973025" w:rsidRDefault="00F6773C" w:rsidP="002A1CAD">
      <w:pPr>
        <w:ind w:left="0" w:firstLine="1701"/>
        <w:rPr>
          <w:sz w:val="36"/>
          <w:szCs w:val="36"/>
        </w:rPr>
      </w:pPr>
      <w:r w:rsidRPr="00973025">
        <w:rPr>
          <w:sz w:val="36"/>
          <w:szCs w:val="36"/>
        </w:rPr>
        <w:t>Porém, o artigo 19, não citado na exposição de motivos da Resolução CGPC 26, e o artigo 21 da mesma LC 109 são claramente agredidos pela imposição da “reversão de valores” em favor da empresa patrocinadora</w:t>
      </w:r>
      <w:r w:rsidR="00176003" w:rsidRPr="00973025">
        <w:rPr>
          <w:sz w:val="36"/>
          <w:szCs w:val="36"/>
        </w:rPr>
        <w:t xml:space="preserve">, conforme passaremos a demonstrar. </w:t>
      </w:r>
    </w:p>
    <w:p w:rsidR="004A7C74" w:rsidRPr="00973025" w:rsidRDefault="00176003" w:rsidP="002A1CAD">
      <w:pPr>
        <w:ind w:left="0" w:firstLine="1701"/>
        <w:rPr>
          <w:sz w:val="36"/>
          <w:szCs w:val="36"/>
        </w:rPr>
      </w:pPr>
      <w:r w:rsidRPr="00973025">
        <w:rPr>
          <w:sz w:val="36"/>
          <w:szCs w:val="36"/>
        </w:rPr>
        <w:t xml:space="preserve">O artigo 19 </w:t>
      </w:r>
      <w:r w:rsidR="00B663F7" w:rsidRPr="00973025">
        <w:rPr>
          <w:sz w:val="36"/>
          <w:szCs w:val="36"/>
        </w:rPr>
        <w:t>caput</w:t>
      </w:r>
      <w:r w:rsidR="00D463CB" w:rsidRPr="00973025">
        <w:rPr>
          <w:sz w:val="36"/>
          <w:szCs w:val="36"/>
        </w:rPr>
        <w:t>, parágrafo único</w:t>
      </w:r>
      <w:r w:rsidR="00B663F7" w:rsidRPr="00973025">
        <w:rPr>
          <w:sz w:val="36"/>
          <w:szCs w:val="36"/>
        </w:rPr>
        <w:t xml:space="preserve"> e incisos I e II, da mesma LC 109/2001 -, </w:t>
      </w:r>
      <w:r w:rsidRPr="00973025">
        <w:rPr>
          <w:sz w:val="36"/>
          <w:szCs w:val="36"/>
        </w:rPr>
        <w:t xml:space="preserve">dispõe </w:t>
      </w:r>
      <w:r w:rsidR="00B663F7" w:rsidRPr="00973025">
        <w:rPr>
          <w:sz w:val="36"/>
          <w:szCs w:val="36"/>
        </w:rPr>
        <w:t xml:space="preserve">que “as contribuições destinadas à constituição de reservas terão como finalidade prover o pagamento de benefícios de caráter </w:t>
      </w:r>
      <w:proofErr w:type="gramStart"/>
      <w:r w:rsidR="00B663F7" w:rsidRPr="00973025">
        <w:rPr>
          <w:sz w:val="36"/>
          <w:szCs w:val="36"/>
        </w:rPr>
        <w:t>previdenciários observadas</w:t>
      </w:r>
      <w:proofErr w:type="gramEnd"/>
      <w:r w:rsidR="00B663F7" w:rsidRPr="00973025">
        <w:rPr>
          <w:sz w:val="36"/>
          <w:szCs w:val="36"/>
        </w:rPr>
        <w:t xml:space="preserve"> as especificadas nessa lei complementar”</w:t>
      </w:r>
      <w:r w:rsidR="00D463CB" w:rsidRPr="00973025">
        <w:rPr>
          <w:sz w:val="36"/>
          <w:szCs w:val="36"/>
        </w:rPr>
        <w:t xml:space="preserve">; </w:t>
      </w:r>
      <w:r w:rsidR="005A0AE9" w:rsidRPr="00973025">
        <w:rPr>
          <w:sz w:val="36"/>
          <w:szCs w:val="36"/>
        </w:rPr>
        <w:t xml:space="preserve">explicitando </w:t>
      </w:r>
      <w:r w:rsidR="00D463CB" w:rsidRPr="00973025">
        <w:rPr>
          <w:sz w:val="36"/>
          <w:szCs w:val="36"/>
        </w:rPr>
        <w:t xml:space="preserve">que “as contribuições referidas no caput classificam-se em (I) normais, aquelas destinadas ao custeio dos benefícios previstos no respectivo plano; e (II) extraordinárias, aquelas destinadas ao custeio de déficits, serviço passado e outras finalidades não incluídas na contribuição normal. </w:t>
      </w:r>
    </w:p>
    <w:p w:rsidR="00D463CB" w:rsidRPr="00973025" w:rsidRDefault="00D463CB" w:rsidP="002A1CAD">
      <w:pPr>
        <w:ind w:left="0" w:firstLine="1701"/>
        <w:rPr>
          <w:sz w:val="36"/>
          <w:szCs w:val="36"/>
        </w:rPr>
      </w:pPr>
      <w:r w:rsidRPr="00973025">
        <w:rPr>
          <w:sz w:val="36"/>
          <w:szCs w:val="36"/>
        </w:rPr>
        <w:t>No mesmo passo estabeleceu no</w:t>
      </w:r>
      <w:r w:rsidR="005A0AE9" w:rsidRPr="00973025">
        <w:rPr>
          <w:sz w:val="36"/>
          <w:szCs w:val="36"/>
        </w:rPr>
        <w:t xml:space="preserve"> caput do</w:t>
      </w:r>
      <w:r w:rsidRPr="00973025">
        <w:rPr>
          <w:sz w:val="36"/>
          <w:szCs w:val="36"/>
        </w:rPr>
        <w:t xml:space="preserve"> artigo 21 que “o resultado deficitário nos planos ou nas entidades fechadas será </w:t>
      </w:r>
      <w:proofErr w:type="gramStart"/>
      <w:r w:rsidRPr="00973025">
        <w:rPr>
          <w:sz w:val="36"/>
          <w:szCs w:val="36"/>
        </w:rPr>
        <w:t>equacionado por patrocinadores, participantes</w:t>
      </w:r>
      <w:proofErr w:type="gramEnd"/>
      <w:r w:rsidRPr="00973025">
        <w:rPr>
          <w:sz w:val="36"/>
          <w:szCs w:val="36"/>
        </w:rPr>
        <w:t xml:space="preserve"> e assistidos, na proporção existente entre as suas </w:t>
      </w:r>
      <w:r w:rsidRPr="00973025">
        <w:rPr>
          <w:sz w:val="36"/>
          <w:szCs w:val="36"/>
        </w:rPr>
        <w:lastRenderedPageBreak/>
        <w:t>contribuições, sem prejuízo de ação regressiva contra dirigentes ou terceiros que deram causa a dano ou prejuízo à entidade de previdência complementar”</w:t>
      </w:r>
      <w:r w:rsidR="009B248A" w:rsidRPr="00973025">
        <w:rPr>
          <w:sz w:val="36"/>
          <w:szCs w:val="36"/>
        </w:rPr>
        <w:t>; que “o equacionamento referido na caput poderá ser feito, dentre outras formas, por meio do aumento do valor das contribuições, instituição de contribuição adicional ou redução do valor dos benefícios a conceder, observadas as normas estabelecidas pelo órgão regulador e fiscalizador”</w:t>
      </w:r>
      <w:r w:rsidR="008623BB" w:rsidRPr="00973025">
        <w:rPr>
          <w:sz w:val="36"/>
          <w:szCs w:val="36"/>
        </w:rPr>
        <w:t xml:space="preserve">;  mas, “na hipótese de retorno à entidade dos recursos equivalente ao déficit previsto na caput deste artigo, em conseqüência de apuração de responsabilidade mediante ação judicial ou administrativa, os respectivos valores deverão ser aplicados necessariamente na redução proporcional das contribuições devidas ao plano ou em melhoria de benefícios”. </w:t>
      </w:r>
    </w:p>
    <w:p w:rsidR="008623BB" w:rsidRPr="00973025" w:rsidRDefault="008623BB" w:rsidP="002A1CAD">
      <w:pPr>
        <w:ind w:left="0" w:firstLine="1701"/>
        <w:rPr>
          <w:sz w:val="36"/>
          <w:szCs w:val="36"/>
        </w:rPr>
      </w:pPr>
      <w:r w:rsidRPr="00973025">
        <w:rPr>
          <w:sz w:val="36"/>
          <w:szCs w:val="36"/>
        </w:rPr>
        <w:t xml:space="preserve">Nos artigos acima citados o legislador deixou bastante claro que todas as receitas do plano se destinam exclusivamente à prestação de benefícios aos participantes e assistidos do plano e não a outra forma de aplicação, a exemplo da ilegal “reversão de valores” em favor da empresa patrocinadora. </w:t>
      </w:r>
    </w:p>
    <w:p w:rsidR="00B309A0" w:rsidRPr="00973025" w:rsidRDefault="00B309A0" w:rsidP="002A1CAD">
      <w:pPr>
        <w:ind w:left="0" w:firstLine="1701"/>
        <w:rPr>
          <w:sz w:val="36"/>
          <w:szCs w:val="36"/>
        </w:rPr>
      </w:pPr>
    </w:p>
    <w:p w:rsidR="00E35965" w:rsidRPr="00973025" w:rsidRDefault="00E35965" w:rsidP="002A1CAD">
      <w:pPr>
        <w:ind w:left="0" w:firstLine="1701"/>
        <w:rPr>
          <w:sz w:val="36"/>
          <w:szCs w:val="36"/>
        </w:rPr>
      </w:pPr>
    </w:p>
    <w:p w:rsidR="00E35965" w:rsidRPr="00973025" w:rsidRDefault="00E35965" w:rsidP="002A1CAD">
      <w:pPr>
        <w:ind w:left="0" w:firstLine="1701"/>
        <w:rPr>
          <w:sz w:val="36"/>
          <w:szCs w:val="36"/>
        </w:rPr>
      </w:pPr>
    </w:p>
    <w:p w:rsidR="007B3BD3" w:rsidRPr="00973025" w:rsidRDefault="007B3BD3" w:rsidP="002A1CAD">
      <w:pPr>
        <w:ind w:left="0" w:firstLine="1701"/>
        <w:rPr>
          <w:sz w:val="36"/>
          <w:szCs w:val="36"/>
        </w:rPr>
      </w:pPr>
      <w:r w:rsidRPr="00973025">
        <w:rPr>
          <w:sz w:val="36"/>
          <w:szCs w:val="36"/>
        </w:rPr>
        <w:t xml:space="preserve"> </w:t>
      </w:r>
      <w:r w:rsidR="00A7602D" w:rsidRPr="00973025">
        <w:rPr>
          <w:sz w:val="36"/>
          <w:szCs w:val="36"/>
        </w:rPr>
        <w:t xml:space="preserve"> </w:t>
      </w:r>
    </w:p>
    <w:sectPr w:rsidR="007B3BD3" w:rsidRPr="00973025" w:rsidSect="00791885">
      <w:headerReference w:type="default" r:id="rId8"/>
      <w:footerReference w:type="default" r:id="rId9"/>
      <w:pgSz w:w="11906" w:h="16838"/>
      <w:pgMar w:top="851" w:right="1134" w:bottom="1021" w:left="170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885" w:rsidRDefault="00791885" w:rsidP="00791885">
      <w:pPr>
        <w:spacing w:after="0"/>
      </w:pPr>
      <w:r>
        <w:separator/>
      </w:r>
    </w:p>
  </w:endnote>
  <w:endnote w:type="continuationSeparator" w:id="0">
    <w:p w:rsidR="00791885" w:rsidRDefault="00791885" w:rsidP="007918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146EFBBF9A144E279DB9B1BD3E34173D"/>
      </w:placeholder>
      <w:temporary/>
      <w:showingPlcHdr/>
    </w:sdtPr>
    <w:sdtContent>
      <w:p w:rsidR="00791885" w:rsidRDefault="00791885">
        <w:pPr>
          <w:pStyle w:val="Rodap"/>
        </w:pPr>
        <w:r>
          <w:t>[Digite texto]</w:t>
        </w:r>
      </w:p>
    </w:sdtContent>
  </w:sdt>
  <w:p w:rsidR="00791885" w:rsidRDefault="0079188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885" w:rsidRDefault="00791885" w:rsidP="00791885">
      <w:pPr>
        <w:spacing w:after="0"/>
      </w:pPr>
      <w:r>
        <w:separator/>
      </w:r>
    </w:p>
  </w:footnote>
  <w:footnote w:type="continuationSeparator" w:id="0">
    <w:p w:rsidR="00791885" w:rsidRDefault="00791885" w:rsidP="007918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583800"/>
      <w:docPartObj>
        <w:docPartGallery w:val="Page Numbers (Top of Page)"/>
        <w:docPartUnique/>
      </w:docPartObj>
    </w:sdtPr>
    <w:sdtContent>
      <w:p w:rsidR="00791885" w:rsidRDefault="00791885" w:rsidP="00791885">
        <w:pPr>
          <w:pStyle w:val="Cabealho"/>
          <w:jc w:val="right"/>
        </w:pPr>
        <w:r>
          <w:fldChar w:fldCharType="begin"/>
        </w:r>
        <w:r>
          <w:instrText>PAGE   \* MERGEFORMAT</w:instrText>
        </w:r>
        <w:r>
          <w:fldChar w:fldCharType="separate"/>
        </w:r>
        <w:r w:rsidR="007706F6">
          <w:rPr>
            <w:noProof/>
          </w:rPr>
          <w:t>2</w:t>
        </w:r>
        <w:r>
          <w:fldChar w:fldCharType="end"/>
        </w:r>
      </w:p>
    </w:sdtContent>
  </w:sdt>
  <w:p w:rsidR="00791885" w:rsidRDefault="0079188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203B"/>
    <w:rsid w:val="000046AD"/>
    <w:rsid w:val="000077BE"/>
    <w:rsid w:val="000238F9"/>
    <w:rsid w:val="00033808"/>
    <w:rsid w:val="00035ED5"/>
    <w:rsid w:val="00037AD9"/>
    <w:rsid w:val="00045994"/>
    <w:rsid w:val="000477C6"/>
    <w:rsid w:val="000479AB"/>
    <w:rsid w:val="00070704"/>
    <w:rsid w:val="0007707C"/>
    <w:rsid w:val="00083A14"/>
    <w:rsid w:val="00094C8C"/>
    <w:rsid w:val="000F0D4D"/>
    <w:rsid w:val="000F49F2"/>
    <w:rsid w:val="000F71D3"/>
    <w:rsid w:val="001067EA"/>
    <w:rsid w:val="001442D1"/>
    <w:rsid w:val="0014679E"/>
    <w:rsid w:val="00176003"/>
    <w:rsid w:val="00180C29"/>
    <w:rsid w:val="0019502E"/>
    <w:rsid w:val="001A5895"/>
    <w:rsid w:val="001D2233"/>
    <w:rsid w:val="00220B3C"/>
    <w:rsid w:val="00241224"/>
    <w:rsid w:val="00243970"/>
    <w:rsid w:val="00250569"/>
    <w:rsid w:val="002712C0"/>
    <w:rsid w:val="00272F33"/>
    <w:rsid w:val="00291F55"/>
    <w:rsid w:val="002A0434"/>
    <w:rsid w:val="002A06C0"/>
    <w:rsid w:val="002A16DF"/>
    <w:rsid w:val="002A1CAD"/>
    <w:rsid w:val="002A3282"/>
    <w:rsid w:val="002A4697"/>
    <w:rsid w:val="002D2ADE"/>
    <w:rsid w:val="002E0742"/>
    <w:rsid w:val="002F0371"/>
    <w:rsid w:val="00327EE5"/>
    <w:rsid w:val="00355DF4"/>
    <w:rsid w:val="00370026"/>
    <w:rsid w:val="0039610D"/>
    <w:rsid w:val="003A251D"/>
    <w:rsid w:val="003A71CB"/>
    <w:rsid w:val="003B7158"/>
    <w:rsid w:val="003E2528"/>
    <w:rsid w:val="003E7A6B"/>
    <w:rsid w:val="00412767"/>
    <w:rsid w:val="00431796"/>
    <w:rsid w:val="00442312"/>
    <w:rsid w:val="0044719A"/>
    <w:rsid w:val="00492D94"/>
    <w:rsid w:val="004A1688"/>
    <w:rsid w:val="004A7C74"/>
    <w:rsid w:val="004D4A3A"/>
    <w:rsid w:val="005224E8"/>
    <w:rsid w:val="00577C7D"/>
    <w:rsid w:val="005929B8"/>
    <w:rsid w:val="005A0AE9"/>
    <w:rsid w:val="005B07CC"/>
    <w:rsid w:val="005B67AB"/>
    <w:rsid w:val="005F09A0"/>
    <w:rsid w:val="00602B40"/>
    <w:rsid w:val="0063110D"/>
    <w:rsid w:val="00641C78"/>
    <w:rsid w:val="0065615C"/>
    <w:rsid w:val="0066148F"/>
    <w:rsid w:val="006C4203"/>
    <w:rsid w:val="006C59F0"/>
    <w:rsid w:val="0070284F"/>
    <w:rsid w:val="007063A8"/>
    <w:rsid w:val="00734438"/>
    <w:rsid w:val="00735194"/>
    <w:rsid w:val="00760A70"/>
    <w:rsid w:val="00761A0E"/>
    <w:rsid w:val="007706F6"/>
    <w:rsid w:val="007856BE"/>
    <w:rsid w:val="00791885"/>
    <w:rsid w:val="00797531"/>
    <w:rsid w:val="007A78F6"/>
    <w:rsid w:val="007B3BD3"/>
    <w:rsid w:val="007C2439"/>
    <w:rsid w:val="007C7910"/>
    <w:rsid w:val="007D203B"/>
    <w:rsid w:val="007F153D"/>
    <w:rsid w:val="007F31A2"/>
    <w:rsid w:val="007F4EBA"/>
    <w:rsid w:val="00834038"/>
    <w:rsid w:val="008613E5"/>
    <w:rsid w:val="008623BB"/>
    <w:rsid w:val="008760D7"/>
    <w:rsid w:val="008B28AB"/>
    <w:rsid w:val="008B6F96"/>
    <w:rsid w:val="008C0E77"/>
    <w:rsid w:val="008D20F4"/>
    <w:rsid w:val="00904905"/>
    <w:rsid w:val="00933114"/>
    <w:rsid w:val="00943440"/>
    <w:rsid w:val="00947E62"/>
    <w:rsid w:val="009541D0"/>
    <w:rsid w:val="0095658F"/>
    <w:rsid w:val="00964A92"/>
    <w:rsid w:val="00973025"/>
    <w:rsid w:val="00991DA9"/>
    <w:rsid w:val="009A688F"/>
    <w:rsid w:val="009B248A"/>
    <w:rsid w:val="009C591C"/>
    <w:rsid w:val="009E1663"/>
    <w:rsid w:val="00A44D8D"/>
    <w:rsid w:val="00A51781"/>
    <w:rsid w:val="00A53BCF"/>
    <w:rsid w:val="00A54C37"/>
    <w:rsid w:val="00A7602D"/>
    <w:rsid w:val="00A92487"/>
    <w:rsid w:val="00A96785"/>
    <w:rsid w:val="00AA2F40"/>
    <w:rsid w:val="00AB0F22"/>
    <w:rsid w:val="00AB176F"/>
    <w:rsid w:val="00AB605C"/>
    <w:rsid w:val="00B076BD"/>
    <w:rsid w:val="00B11E0A"/>
    <w:rsid w:val="00B16F13"/>
    <w:rsid w:val="00B309A0"/>
    <w:rsid w:val="00B663F7"/>
    <w:rsid w:val="00B87705"/>
    <w:rsid w:val="00B950CB"/>
    <w:rsid w:val="00BA5C15"/>
    <w:rsid w:val="00BD6BEC"/>
    <w:rsid w:val="00BF264F"/>
    <w:rsid w:val="00C075DF"/>
    <w:rsid w:val="00C24029"/>
    <w:rsid w:val="00C461D6"/>
    <w:rsid w:val="00C4786A"/>
    <w:rsid w:val="00C810B7"/>
    <w:rsid w:val="00CC1453"/>
    <w:rsid w:val="00CE5FC3"/>
    <w:rsid w:val="00CF1D5C"/>
    <w:rsid w:val="00D44DD8"/>
    <w:rsid w:val="00D463CB"/>
    <w:rsid w:val="00D73E48"/>
    <w:rsid w:val="00D861C9"/>
    <w:rsid w:val="00DA7111"/>
    <w:rsid w:val="00DB0C1D"/>
    <w:rsid w:val="00DB4B2E"/>
    <w:rsid w:val="00DC312A"/>
    <w:rsid w:val="00DC3E06"/>
    <w:rsid w:val="00DE607A"/>
    <w:rsid w:val="00E35965"/>
    <w:rsid w:val="00E715D0"/>
    <w:rsid w:val="00F011F6"/>
    <w:rsid w:val="00F04D84"/>
    <w:rsid w:val="00F17103"/>
    <w:rsid w:val="00F34FF4"/>
    <w:rsid w:val="00F35878"/>
    <w:rsid w:val="00F57EA5"/>
    <w:rsid w:val="00F649E5"/>
    <w:rsid w:val="00F6773C"/>
    <w:rsid w:val="00F74B2C"/>
    <w:rsid w:val="00FB2CAC"/>
    <w:rsid w:val="00FB34B5"/>
    <w:rsid w:val="00FE3845"/>
    <w:rsid w:val="00FF1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ind w:left="184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22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4C37"/>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A54C37"/>
    <w:rPr>
      <w:rFonts w:ascii="Tahoma" w:hAnsi="Tahoma" w:cs="Tahoma"/>
      <w:sz w:val="16"/>
      <w:szCs w:val="16"/>
    </w:rPr>
  </w:style>
  <w:style w:type="paragraph" w:styleId="Cabealho">
    <w:name w:val="header"/>
    <w:basedOn w:val="Normal"/>
    <w:link w:val="CabealhoChar"/>
    <w:uiPriority w:val="99"/>
    <w:unhideWhenUsed/>
    <w:rsid w:val="00791885"/>
    <w:pPr>
      <w:tabs>
        <w:tab w:val="center" w:pos="4252"/>
        <w:tab w:val="right" w:pos="8504"/>
      </w:tabs>
      <w:spacing w:after="0"/>
    </w:pPr>
  </w:style>
  <w:style w:type="character" w:customStyle="1" w:styleId="CabealhoChar">
    <w:name w:val="Cabeçalho Char"/>
    <w:basedOn w:val="Fontepargpadro"/>
    <w:link w:val="Cabealho"/>
    <w:uiPriority w:val="99"/>
    <w:rsid w:val="00791885"/>
  </w:style>
  <w:style w:type="paragraph" w:styleId="Rodap">
    <w:name w:val="footer"/>
    <w:basedOn w:val="Normal"/>
    <w:link w:val="RodapChar"/>
    <w:uiPriority w:val="99"/>
    <w:unhideWhenUsed/>
    <w:rsid w:val="00791885"/>
    <w:pPr>
      <w:tabs>
        <w:tab w:val="center" w:pos="4252"/>
        <w:tab w:val="right" w:pos="8504"/>
      </w:tabs>
      <w:spacing w:after="0"/>
    </w:pPr>
  </w:style>
  <w:style w:type="character" w:customStyle="1" w:styleId="RodapChar">
    <w:name w:val="Rodapé Char"/>
    <w:basedOn w:val="Fontepargpadro"/>
    <w:link w:val="Rodap"/>
    <w:uiPriority w:val="99"/>
    <w:rsid w:val="007918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73B"/>
    <w:rsid w:val="00CB57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46EFBBF9A144E279DB9B1BD3E34173D">
    <w:name w:val="146EFBBF9A144E279DB9B1BD3E34173D"/>
    <w:rsid w:val="00CB57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46EFBBF9A144E279DB9B1BD3E34173D">
    <w:name w:val="146EFBBF9A144E279DB9B1BD3E34173D"/>
    <w:rsid w:val="00CB5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D2F87-97FC-4386-BD7D-1EC54AD2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2235</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HELEN</dc:creator>
  <cp:lastModifiedBy>cabs</cp:lastModifiedBy>
  <cp:revision>11</cp:revision>
  <cp:lastPrinted>2014-07-02T14:09:00Z</cp:lastPrinted>
  <dcterms:created xsi:type="dcterms:W3CDTF">2014-07-01T15:28:00Z</dcterms:created>
  <dcterms:modified xsi:type="dcterms:W3CDTF">2014-07-02T14:21:00Z</dcterms:modified>
</cp:coreProperties>
</file>