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65" w:rsidRPr="00787078" w:rsidRDefault="003C2C65" w:rsidP="003C2C65">
      <w:pPr>
        <w:pStyle w:val="01-TtuloEstudoNota-CLG"/>
        <w:spacing w:after="0"/>
        <w:rPr>
          <w:b w:val="0"/>
          <w:sz w:val="24"/>
          <w:szCs w:val="24"/>
        </w:rPr>
      </w:pPr>
    </w:p>
    <w:p w:rsidR="003C2C65" w:rsidRDefault="003C2C65" w:rsidP="003C2C65">
      <w:pPr>
        <w:pStyle w:val="01-TtuloEstudoNota-CLG"/>
        <w:spacing w:after="0"/>
      </w:pPr>
      <w:r>
        <w:t>Avaliação de Políticas Públicas</w:t>
      </w:r>
    </w:p>
    <w:p w:rsidR="003C2C65" w:rsidRPr="00CD65EB" w:rsidRDefault="003C2C65" w:rsidP="003C2C65">
      <w:pPr>
        <w:pStyle w:val="01-TtuloEstudoNota-CLG"/>
        <w:spacing w:after="0"/>
        <w:rPr>
          <w:b w:val="0"/>
          <w:sz w:val="28"/>
          <w:szCs w:val="28"/>
        </w:rPr>
      </w:pPr>
      <w:r w:rsidRPr="00CD65EB">
        <w:rPr>
          <w:b w:val="0"/>
          <w:sz w:val="28"/>
          <w:szCs w:val="28"/>
        </w:rPr>
        <w:t>(</w:t>
      </w:r>
      <w:r w:rsidR="00954E4C">
        <w:rPr>
          <w:b w:val="0"/>
          <w:sz w:val="28"/>
          <w:szCs w:val="28"/>
        </w:rPr>
        <w:t>Art. 96-B do Regimento Interno do Senado Federal - RISF</w:t>
      </w:r>
      <w:r w:rsidRPr="00CD65EB">
        <w:rPr>
          <w:b w:val="0"/>
          <w:sz w:val="28"/>
          <w:szCs w:val="28"/>
        </w:rPr>
        <w:t>)</w:t>
      </w:r>
    </w:p>
    <w:p w:rsidR="003C2C65" w:rsidRDefault="003C2C65" w:rsidP="003C2C65">
      <w:pPr>
        <w:pStyle w:val="01-TtuloEstudoNota-CLG"/>
        <w:spacing w:after="0"/>
      </w:pPr>
    </w:p>
    <w:p w:rsidR="003C2C65" w:rsidRDefault="003C2C65" w:rsidP="003C2C65">
      <w:pPr>
        <w:pStyle w:val="01-TtuloEstudoNota-CLG"/>
        <w:spacing w:after="0"/>
      </w:pPr>
      <w:r>
        <w:t>Proposta de Plano de Trabalho</w:t>
      </w:r>
    </w:p>
    <w:p w:rsidR="003C2C65" w:rsidRDefault="003C2C65" w:rsidP="003C2C65">
      <w:pPr>
        <w:pStyle w:val="01-TtuloEstudoNota-CLG"/>
        <w:spacing w:after="0"/>
      </w:pPr>
    </w:p>
    <w:p w:rsidR="003C2C65" w:rsidRDefault="003C2C65" w:rsidP="003C2C65">
      <w:pPr>
        <w:pStyle w:val="01-TtuloEstudoNota-CLG"/>
        <w:spacing w:after="200"/>
      </w:pPr>
      <w:r>
        <w:t>Avali</w:t>
      </w:r>
      <w:r w:rsidR="00460428">
        <w:t>a</w:t>
      </w:r>
      <w:r>
        <w:t xml:space="preserve">ção </w:t>
      </w:r>
      <w:r w:rsidR="00E750CC">
        <w:t>da</w:t>
      </w:r>
      <w:r w:rsidR="005E5283">
        <w:t xml:space="preserve"> Política Nacional de Segurança de Barragens</w:t>
      </w:r>
    </w:p>
    <w:p w:rsidR="00E750CC" w:rsidRPr="0011233D" w:rsidRDefault="00E750CC" w:rsidP="003C2C65">
      <w:pPr>
        <w:pStyle w:val="01-TtuloEstudoNota-CLG"/>
        <w:spacing w:after="200"/>
      </w:pPr>
      <w:bookmarkStart w:id="0" w:name="_GoBack"/>
      <w:bookmarkEnd w:id="0"/>
    </w:p>
    <w:p w:rsidR="003C2C65" w:rsidRPr="00541D73" w:rsidRDefault="003C2C65" w:rsidP="003C2C65">
      <w:pPr>
        <w:pStyle w:val="Ttulo4"/>
        <w:keepNext w:val="0"/>
        <w:spacing w:after="240"/>
      </w:pPr>
      <w:proofErr w:type="gramStart"/>
      <w:r w:rsidRPr="00CD65EB">
        <w:t>Presidente:</w:t>
      </w:r>
      <w:r w:rsidR="005E5283">
        <w:tab/>
      </w:r>
      <w:proofErr w:type="gramEnd"/>
      <w:r w:rsidR="005E5283">
        <w:tab/>
      </w:r>
      <w:r>
        <w:t>Senador</w:t>
      </w:r>
      <w:r w:rsidR="00E750CC">
        <w:t>a</w:t>
      </w:r>
      <w:r>
        <w:t xml:space="preserve"> </w:t>
      </w:r>
      <w:r w:rsidR="00E750CC">
        <w:rPr>
          <w:b/>
        </w:rPr>
        <w:t xml:space="preserve">FÁTIMA BEZERRA </w:t>
      </w:r>
    </w:p>
    <w:p w:rsidR="003C2C65" w:rsidRDefault="003C2C65" w:rsidP="00E750CC">
      <w:pPr>
        <w:spacing w:after="240"/>
        <w:rPr>
          <w:b/>
          <w:bCs/>
          <w:sz w:val="28"/>
          <w:lang w:val="pt-BR"/>
        </w:rPr>
      </w:pPr>
      <w:r w:rsidRPr="003C2C65">
        <w:rPr>
          <w:sz w:val="28"/>
          <w:lang w:val="pt-BR"/>
        </w:rPr>
        <w:t xml:space="preserve">Vice-Presidente: </w:t>
      </w:r>
      <w:r w:rsidRPr="003C2C65">
        <w:rPr>
          <w:sz w:val="28"/>
          <w:lang w:val="pt-BR"/>
        </w:rPr>
        <w:tab/>
        <w:t>Senador</w:t>
      </w:r>
      <w:r w:rsidR="00E750CC">
        <w:rPr>
          <w:sz w:val="28"/>
          <w:lang w:val="pt-BR"/>
        </w:rPr>
        <w:t>a</w:t>
      </w:r>
      <w:r w:rsidRPr="003C2C65">
        <w:rPr>
          <w:sz w:val="28"/>
          <w:lang w:val="pt-BR"/>
        </w:rPr>
        <w:t xml:space="preserve"> </w:t>
      </w:r>
      <w:r w:rsidR="00E750CC">
        <w:rPr>
          <w:b/>
          <w:bCs/>
          <w:sz w:val="28"/>
          <w:lang w:val="pt-BR"/>
        </w:rPr>
        <w:t xml:space="preserve">LÍDICE DA MATA </w:t>
      </w:r>
    </w:p>
    <w:p w:rsidR="005E5283" w:rsidRPr="005E5283" w:rsidRDefault="005E5283" w:rsidP="00E750CC">
      <w:pPr>
        <w:spacing w:after="240"/>
        <w:rPr>
          <w:lang w:val="pt-BR"/>
        </w:rPr>
      </w:pPr>
      <w:proofErr w:type="gramStart"/>
      <w:r w:rsidRPr="005E5283">
        <w:rPr>
          <w:bCs/>
          <w:sz w:val="28"/>
          <w:lang w:val="pt-BR"/>
        </w:rPr>
        <w:t>Relator</w:t>
      </w:r>
      <w:r>
        <w:rPr>
          <w:bCs/>
          <w:sz w:val="28"/>
          <w:lang w:val="pt-BR"/>
        </w:rPr>
        <w:t>:</w:t>
      </w:r>
      <w:r>
        <w:rPr>
          <w:bCs/>
          <w:sz w:val="28"/>
          <w:lang w:val="pt-BR"/>
        </w:rPr>
        <w:tab/>
      </w:r>
      <w:proofErr w:type="gramEnd"/>
      <w:r>
        <w:rPr>
          <w:bCs/>
          <w:sz w:val="28"/>
          <w:lang w:val="pt-BR"/>
        </w:rPr>
        <w:tab/>
        <w:t xml:space="preserve">Senador </w:t>
      </w:r>
      <w:r w:rsidRPr="005E5283">
        <w:rPr>
          <w:b/>
          <w:bCs/>
          <w:sz w:val="28"/>
          <w:lang w:val="pt-BR"/>
        </w:rPr>
        <w:t>ELMANO FÉRRER</w:t>
      </w:r>
    </w:p>
    <w:p w:rsidR="003C2C65" w:rsidRDefault="003C2C65" w:rsidP="004C32C7">
      <w:pPr>
        <w:pStyle w:val="04-PargrafodetextoEstudoNotas-CLG"/>
        <w:rPr>
          <w:b/>
        </w:rPr>
      </w:pPr>
    </w:p>
    <w:p w:rsidR="0023079F" w:rsidRPr="00D30DA0" w:rsidRDefault="0023079F" w:rsidP="0023079F">
      <w:pPr>
        <w:pStyle w:val="04-PargrafodetextoEstudoNotas-CLG"/>
        <w:ind w:firstLine="0"/>
        <w:rPr>
          <w:b/>
        </w:rPr>
      </w:pPr>
      <w:r>
        <w:rPr>
          <w:b/>
        </w:rPr>
        <w:t xml:space="preserve">1. </w:t>
      </w:r>
      <w:r w:rsidRPr="00CD65EB">
        <w:rPr>
          <w:b/>
          <w:caps/>
        </w:rPr>
        <w:t>Apresentação</w:t>
      </w:r>
    </w:p>
    <w:p w:rsidR="00CC68F8" w:rsidRDefault="009A44ED" w:rsidP="00CC68F8">
      <w:pPr>
        <w:pStyle w:val="04-PargrafodetextoEstudoNotas-CLG"/>
      </w:pPr>
      <w:r>
        <w:t>O art. 96-B do Regimento Interno</w:t>
      </w:r>
      <w:r w:rsidR="0023079F">
        <w:t xml:space="preserve"> do Senado Federal </w:t>
      </w:r>
      <w:r w:rsidR="00860FD6">
        <w:t xml:space="preserve">(RISF) </w:t>
      </w:r>
      <w:proofErr w:type="gramStart"/>
      <w:r w:rsidR="0023079F">
        <w:t>prevê</w:t>
      </w:r>
      <w:proofErr w:type="gramEnd"/>
      <w:r w:rsidR="0023079F">
        <w:t xml:space="preserve"> que a Casa Legislativa realize a avaliação de políticas públicas. </w:t>
      </w:r>
      <w:r w:rsidR="00CC68F8">
        <w:t>Avaliações dessa natureza têm como objetivo principal aprimorar a g</w:t>
      </w:r>
      <w:r w:rsidR="00CC68F8" w:rsidRPr="008E1FE5">
        <w:t>estão do Estado</w:t>
      </w:r>
      <w:r w:rsidR="00CC68F8">
        <w:t>, por meio da mensuração da eficiência, da eficácia e da efetividade de determinada</w:t>
      </w:r>
      <w:r w:rsidR="00860FD6">
        <w:t>s</w:t>
      </w:r>
      <w:r w:rsidR="00CC68F8">
        <w:t xml:space="preserve"> política</w:t>
      </w:r>
      <w:r w:rsidR="00860FD6">
        <w:t>s</w:t>
      </w:r>
      <w:r w:rsidR="00CC68F8">
        <w:t xml:space="preserve"> pública</w:t>
      </w:r>
      <w:r w:rsidR="00860FD6">
        <w:t>s</w:t>
      </w:r>
      <w:r w:rsidR="00CC68F8">
        <w:t>. O resultado da avaliação é fundamental para orientar as ações do Poder Público e pode indicar a necessidade de aprimoramento do marco legal pertinente.</w:t>
      </w:r>
    </w:p>
    <w:p w:rsidR="00692FF4" w:rsidRDefault="009A44ED" w:rsidP="00692FF4">
      <w:pPr>
        <w:pStyle w:val="04-PargrafodetextoEstudoNotas-CLG"/>
      </w:pPr>
      <w:r>
        <w:t>O mencionado artigo do RISF determina que</w:t>
      </w:r>
      <w:r w:rsidR="0023079F">
        <w:t xml:space="preserve"> “</w:t>
      </w:r>
      <w:r w:rsidR="0023079F" w:rsidRPr="002F66E6">
        <w:t>as comissões permanentes selecionarão, na área de sua competência, políticas públicas desenvolvidas no âmbito do Poder Executivo, para serem avaliadas</w:t>
      </w:r>
      <w:r w:rsidR="0023079F">
        <w:t>”. Com base n</w:t>
      </w:r>
      <w:r w:rsidR="00264EED">
        <w:t>esse</w:t>
      </w:r>
      <w:r w:rsidR="0023079F">
        <w:t xml:space="preserve"> dispositivo</w:t>
      </w:r>
      <w:r w:rsidR="005E5283">
        <w:t xml:space="preserve">, </w:t>
      </w:r>
      <w:r w:rsidR="00114D2C">
        <w:t>a</w:t>
      </w:r>
      <w:r w:rsidR="00264EED">
        <w:t xml:space="preserve"> Comissão de </w:t>
      </w:r>
      <w:r w:rsidR="00114D2C" w:rsidRPr="00114D2C">
        <w:t>Desenvolvimento Regional e Turismo</w:t>
      </w:r>
      <w:r w:rsidR="00114D2C">
        <w:t xml:space="preserve"> </w:t>
      </w:r>
      <w:r w:rsidR="00114D2C">
        <w:lastRenderedPageBreak/>
        <w:t>(CDR) realiza</w:t>
      </w:r>
      <w:r w:rsidR="005E5283">
        <w:t>, em 2018,</w:t>
      </w:r>
      <w:r w:rsidR="00114D2C">
        <w:t xml:space="preserve"> a a</w:t>
      </w:r>
      <w:r w:rsidR="00114D2C" w:rsidRPr="00114D2C">
        <w:t xml:space="preserve">valição </w:t>
      </w:r>
      <w:r w:rsidR="005E5283">
        <w:t>da Política Nacional de Segurança de Barragens</w:t>
      </w:r>
      <w:r w:rsidR="00114D2C">
        <w:t xml:space="preserve">, </w:t>
      </w:r>
      <w:r>
        <w:t xml:space="preserve">conforme o </w:t>
      </w:r>
      <w:r w:rsidR="00264EED">
        <w:t xml:space="preserve">Requerimento da </w:t>
      </w:r>
      <w:r w:rsidR="00114D2C">
        <w:t>CDR nº 1</w:t>
      </w:r>
      <w:r w:rsidR="005E5283">
        <w:t>1</w:t>
      </w:r>
      <w:r w:rsidR="00114D2C">
        <w:t>, de 201</w:t>
      </w:r>
      <w:r w:rsidR="005E5283">
        <w:t>8</w:t>
      </w:r>
      <w:r w:rsidR="00114D2C">
        <w:t xml:space="preserve">, aprovado em </w:t>
      </w:r>
      <w:r w:rsidR="005E5283">
        <w:t>25 de abril</w:t>
      </w:r>
      <w:r w:rsidR="00114D2C">
        <w:t xml:space="preserve"> do </w:t>
      </w:r>
      <w:r w:rsidR="005C08C2">
        <w:t xml:space="preserve">ano </w:t>
      </w:r>
      <w:r w:rsidR="00114D2C">
        <w:t>corrente</w:t>
      </w:r>
      <w:r w:rsidR="00692FF4" w:rsidRPr="00692FF4">
        <w:t>.</w:t>
      </w:r>
    </w:p>
    <w:p w:rsidR="007604A5" w:rsidRDefault="00CC68F8" w:rsidP="007604A5">
      <w:pPr>
        <w:pStyle w:val="04-PargrafodetextoEstudoNotas-CLG"/>
        <w:spacing w:after="240"/>
      </w:pPr>
      <w:r>
        <w:t xml:space="preserve">No âmbito </w:t>
      </w:r>
      <w:r w:rsidR="007604A5">
        <w:t>federal, a segurança de barragens é disciplinada pela Lei nº 12.334, de 20 de setembro de 2010, que e</w:t>
      </w:r>
      <w:r w:rsidR="007604A5" w:rsidRPr="005C34F4">
        <w:t>stabelece a Política Nacional de Segurança de Barragens</w:t>
      </w:r>
      <w:r w:rsidR="007604A5">
        <w:t xml:space="preserve"> (PNSB). A lei aplica-se às barragens</w:t>
      </w:r>
      <w:r w:rsidR="007604A5" w:rsidRPr="005C34F4">
        <w:t xml:space="preserve"> destinadas à acumulação de água para quaisquer usos, à disposição final ou temporária de rejeitos e à acumulação de resíduos industriais</w:t>
      </w:r>
      <w:r w:rsidR="007604A5">
        <w:t xml:space="preserve">. </w:t>
      </w:r>
    </w:p>
    <w:p w:rsidR="007604A5" w:rsidRDefault="007604A5" w:rsidP="007604A5">
      <w:pPr>
        <w:pStyle w:val="04-PargrafodetextoEstudoNotas-CLG"/>
        <w:spacing w:after="240"/>
      </w:pPr>
      <w:r>
        <w:t xml:space="preserve">A PNSB define responsabilidades, cria procedimentos de segurança, define instrumentos e competências, normatiza os vários aspectos das barragens e enfatiza a questão da segurança com vistas a proteger as vidas humanas. A lei em questão também institui o </w:t>
      </w:r>
      <w:r w:rsidRPr="005C34F4">
        <w:t>Sistema Nacional de Informações sobre Segurança de Barragens</w:t>
      </w:r>
      <w:r>
        <w:t xml:space="preserve"> (SNISB) como um dos instrumentos da Política. </w:t>
      </w:r>
    </w:p>
    <w:p w:rsidR="00736524" w:rsidRDefault="007604A5" w:rsidP="007604A5">
      <w:pPr>
        <w:pStyle w:val="04-PargrafodetextoEstudoNotas-CLG"/>
        <w:spacing w:after="240"/>
      </w:pPr>
      <w:r>
        <w:t xml:space="preserve">Outro importante instrumento da PNSB é o </w:t>
      </w:r>
      <w:r w:rsidRPr="00B45D50">
        <w:t>sistema de classificação de barragens</w:t>
      </w:r>
      <w:r w:rsidR="00FF10BC">
        <w:t>, segundo o qual</w:t>
      </w:r>
      <w:r>
        <w:t xml:space="preserve"> as barragens </w:t>
      </w:r>
      <w:r w:rsidR="00BB2670">
        <w:t xml:space="preserve">são </w:t>
      </w:r>
      <w:r>
        <w:t xml:space="preserve">classificadas </w:t>
      </w:r>
      <w:r w:rsidRPr="00B45D50">
        <w:t>por categoria de risco</w:t>
      </w:r>
      <w:r>
        <w:t>,</w:t>
      </w:r>
      <w:r w:rsidRPr="00B45D50">
        <w:t xml:space="preserve"> p</w:t>
      </w:r>
      <w:r w:rsidR="00736524">
        <w:t>elo</w:t>
      </w:r>
      <w:r w:rsidRPr="00B45D50">
        <w:t xml:space="preserve"> dano potencial associado</w:t>
      </w:r>
      <w:r w:rsidR="00BB2670">
        <w:t>,</w:t>
      </w:r>
      <w:r>
        <w:t xml:space="preserve"> e </w:t>
      </w:r>
      <w:r w:rsidR="00BB2670">
        <w:t>por</w:t>
      </w:r>
      <w:r>
        <w:t xml:space="preserve"> volume, com base em critérios gerais estabelecidos pelo Conselho Nacional de Recursos Hídricos (CNRH). </w:t>
      </w:r>
    </w:p>
    <w:p w:rsidR="007604A5" w:rsidRDefault="007604A5" w:rsidP="007604A5">
      <w:pPr>
        <w:pStyle w:val="04-PargrafodetextoEstudoNotas-CLG"/>
        <w:spacing w:after="240"/>
      </w:pPr>
      <w:r>
        <w:t xml:space="preserve">Conforme a </w:t>
      </w:r>
      <w:r w:rsidR="00E02A29">
        <w:t>L</w:t>
      </w:r>
      <w:r>
        <w:t>ei</w:t>
      </w:r>
      <w:r w:rsidR="00E02A29">
        <w:t xml:space="preserve"> nº 12.334, de 2010</w:t>
      </w:r>
      <w:r>
        <w:t>, a</w:t>
      </w:r>
      <w:r w:rsidRPr="00E77849">
        <w:t xml:space="preserve"> classificação por categoria de risco em alto, médio ou baixo será feita em função das características técnicas, do estado de conservação do empreendimento e do atendimento ao Plano de Segurança da Barragem. </w:t>
      </w:r>
      <w:r>
        <w:t xml:space="preserve">Já a </w:t>
      </w:r>
      <w:r w:rsidRPr="00E77849">
        <w:t>classificação por categoria de dano potencial associado em alto, médio ou baixo será feita em função do potencial de perdas de vidas humanas e dos impactos econômicos, sociais e ambientais decorrentes da ruptura da barragem</w:t>
      </w:r>
      <w:r w:rsidR="009A4F08">
        <w:t>.</w:t>
      </w:r>
    </w:p>
    <w:p w:rsidR="009A4F08" w:rsidRDefault="009A4F08" w:rsidP="009A4F08">
      <w:pPr>
        <w:pStyle w:val="04-PargrafodetextoEstudoNotas-CLG"/>
        <w:spacing w:after="240"/>
      </w:pPr>
      <w:r>
        <w:lastRenderedPageBreak/>
        <w:t xml:space="preserve">Segundo </w:t>
      </w:r>
      <w:r w:rsidR="00D30A23">
        <w:t xml:space="preserve">o mais recente </w:t>
      </w:r>
      <w:r>
        <w:t>Relatório de Segurança de Barragens</w:t>
      </w:r>
      <w:r w:rsidR="00D30A23">
        <w:t xml:space="preserve">, elaborado pela </w:t>
      </w:r>
      <w:r w:rsidR="00D30A23" w:rsidRPr="009A4F08">
        <w:t xml:space="preserve">Agência Nacional de Águas </w:t>
      </w:r>
      <w:r w:rsidR="00D30A23">
        <w:t xml:space="preserve">(ANA) com dados consolidados até 31 de dezembro de </w:t>
      </w:r>
      <w:r>
        <w:t>2016</w:t>
      </w:r>
      <w:r w:rsidR="00A268A0">
        <w:t>,</w:t>
      </w:r>
      <w:r w:rsidR="0060464F">
        <w:rPr>
          <w:rStyle w:val="Refdenotaderodap"/>
        </w:rPr>
        <w:footnoteReference w:id="1"/>
      </w:r>
      <w:r>
        <w:t xml:space="preserve"> 3.691 barragens já foram classificadas por categoria de risco e 4.159 quanto ao dano potencial associado. </w:t>
      </w:r>
      <w:r w:rsidR="00E402C3">
        <w:t xml:space="preserve">Esses números são, </w:t>
      </w:r>
      <w:r>
        <w:t>no</w:t>
      </w:r>
      <w:r w:rsidRPr="009A4F08">
        <w:t xml:space="preserve"> entanto, </w:t>
      </w:r>
      <w:r>
        <w:t xml:space="preserve">apenas uma fração das </w:t>
      </w:r>
      <w:r w:rsidRPr="009A4F08">
        <w:t>22.920 barragens identificadas</w:t>
      </w:r>
      <w:r>
        <w:t xml:space="preserve">. </w:t>
      </w:r>
      <w:r w:rsidR="00E402C3">
        <w:t xml:space="preserve">Desse modo, </w:t>
      </w:r>
      <w:r w:rsidRPr="009A4F08">
        <w:t>19.229</w:t>
      </w:r>
      <w:r>
        <w:t xml:space="preserve"> </w:t>
      </w:r>
      <w:r w:rsidR="00E402C3">
        <w:t xml:space="preserve">barragens </w:t>
      </w:r>
      <w:r w:rsidRPr="009A4F08">
        <w:t xml:space="preserve">ainda não foram avaliadas quanto à categoria de risco </w:t>
      </w:r>
      <w:r>
        <w:t xml:space="preserve">e </w:t>
      </w:r>
      <w:r w:rsidRPr="009A4F08">
        <w:t>18.761</w:t>
      </w:r>
      <w:r>
        <w:t xml:space="preserve"> </w:t>
      </w:r>
      <w:r w:rsidRPr="009A4F08">
        <w:t>ainda não foram classificadas quanto ao dano potencial associado</w:t>
      </w:r>
      <w:r>
        <w:t xml:space="preserve">. </w:t>
      </w:r>
      <w:r w:rsidRPr="009A4F08">
        <w:t>Além disso, apenas</w:t>
      </w:r>
      <w:r>
        <w:t xml:space="preserve"> </w:t>
      </w:r>
      <w:r w:rsidRPr="009A4F08">
        <w:t xml:space="preserve">12.580 (ou 55%) </w:t>
      </w:r>
      <w:r w:rsidR="005171AB">
        <w:t xml:space="preserve">estão regularizadas, ou seja, </w:t>
      </w:r>
      <w:r w:rsidRPr="009A4F08">
        <w:t>possuem algum tipo de ato de autorização</w:t>
      </w:r>
      <w:r w:rsidR="005171AB">
        <w:t xml:space="preserve">, como </w:t>
      </w:r>
      <w:r w:rsidRPr="009A4F08">
        <w:t>outorga,</w:t>
      </w:r>
      <w:r>
        <w:t xml:space="preserve"> </w:t>
      </w:r>
      <w:r w:rsidRPr="009A4F08">
        <w:t>concessão, autorização</w:t>
      </w:r>
      <w:r w:rsidR="005171AB">
        <w:t xml:space="preserve"> </w:t>
      </w:r>
      <w:r w:rsidR="00A268A0">
        <w:t xml:space="preserve">ou </w:t>
      </w:r>
      <w:r w:rsidR="005171AB">
        <w:t>licença, entre outros.</w:t>
      </w:r>
    </w:p>
    <w:p w:rsidR="00D30A23" w:rsidRDefault="00E402C3" w:rsidP="007604A5">
      <w:pPr>
        <w:pStyle w:val="04-PargrafodetextoEstudoNotas-CLG"/>
        <w:spacing w:after="240"/>
      </w:pPr>
      <w:r>
        <w:t>Das barragens já analisadas</w:t>
      </w:r>
      <w:r w:rsidRPr="009A4F08">
        <w:t>, 695 foram classificadas</w:t>
      </w:r>
      <w:r>
        <w:t xml:space="preserve"> </w:t>
      </w:r>
      <w:r w:rsidRPr="009A4F08">
        <w:t xml:space="preserve">simultaneamente </w:t>
      </w:r>
      <w:r>
        <w:t xml:space="preserve">nas categorias de alto risco e alto </w:t>
      </w:r>
      <w:r w:rsidRPr="009A4F08">
        <w:t>dano potencial associado</w:t>
      </w:r>
      <w:r>
        <w:t xml:space="preserve">. </w:t>
      </w:r>
      <w:r w:rsidR="00D30A23">
        <w:t>De acordo com levantamento consolidado pela ANA, essas barragens estão fortemente concentradas nos estados do Nordeste, especialmente Bahia, Paraíba, Pernambuco, Piauí e Rio Grande do Norte.</w:t>
      </w:r>
    </w:p>
    <w:p w:rsidR="007604A5" w:rsidRDefault="00E402C3" w:rsidP="007604A5">
      <w:pPr>
        <w:pStyle w:val="04-PargrafodetextoEstudoNotas-CLG"/>
        <w:spacing w:after="240"/>
      </w:pPr>
      <w:r>
        <w:t>Além disso, as 29 entidades efetivamente fiscalizadoras</w:t>
      </w:r>
      <w:r>
        <w:rPr>
          <w:rStyle w:val="Refdenotaderodap"/>
        </w:rPr>
        <w:footnoteReference w:id="2"/>
      </w:r>
      <w:r>
        <w:t xml:space="preserve"> </w:t>
      </w:r>
      <w:r w:rsidR="00736524">
        <w:t xml:space="preserve">existentes no Brasil </w:t>
      </w:r>
      <w:r w:rsidRPr="009A4F08">
        <w:t xml:space="preserve">listaram </w:t>
      </w:r>
      <w:r w:rsidR="00A268A0">
        <w:t xml:space="preserve">as </w:t>
      </w:r>
      <w:r w:rsidRPr="009A4F08">
        <w:t>25 barragens que</w:t>
      </w:r>
      <w:r w:rsidR="00AB50B1">
        <w:t xml:space="preserve"> mais preocupam</w:t>
      </w:r>
      <w:r w:rsidRPr="009A4F08">
        <w:t xml:space="preserve">, </w:t>
      </w:r>
      <w:r w:rsidR="00AB50B1">
        <w:t>ainda que não necessariamente classificadas como de alto risco ou alto dano potencial associado,</w:t>
      </w:r>
      <w:r w:rsidRPr="009A4F08">
        <w:t xml:space="preserve"> por possuírem algum comprometimento importante </w:t>
      </w:r>
      <w:r w:rsidR="00A268A0">
        <w:t xml:space="preserve">(verificado por inspeções </w:t>
      </w:r>
      <w:r w:rsidR="00A268A0" w:rsidRPr="00AB50B1">
        <w:rPr>
          <w:i/>
        </w:rPr>
        <w:t>in loco</w:t>
      </w:r>
      <w:r w:rsidR="00A268A0">
        <w:t xml:space="preserve">) </w:t>
      </w:r>
      <w:r w:rsidRPr="009A4F08">
        <w:t>que impacta</w:t>
      </w:r>
      <w:r>
        <w:t xml:space="preserve"> </w:t>
      </w:r>
      <w:r w:rsidR="00AB50B1">
        <w:t>sua segurança.</w:t>
      </w:r>
      <w:r w:rsidR="00D30A23">
        <w:t xml:space="preserve"> Mais uma vez, as barragens assim identificadas se concentram nos estados do Nordeste, em especial no Ceará.</w:t>
      </w:r>
    </w:p>
    <w:p w:rsidR="00690E81" w:rsidRDefault="00736524" w:rsidP="00736524">
      <w:pPr>
        <w:pStyle w:val="04-PargrafodetextoEstudoNotas-CLG"/>
        <w:rPr>
          <w:color w:val="222222"/>
        </w:rPr>
      </w:pPr>
      <w:r>
        <w:rPr>
          <w:color w:val="222222"/>
        </w:rPr>
        <w:t xml:space="preserve">Em </w:t>
      </w:r>
      <w:r w:rsidRPr="004E67FC">
        <w:rPr>
          <w:color w:val="222222"/>
        </w:rPr>
        <w:t>5 de novembro</w:t>
      </w:r>
      <w:r>
        <w:rPr>
          <w:color w:val="222222"/>
        </w:rPr>
        <w:t xml:space="preserve"> de 2015, ocorreu </w:t>
      </w:r>
      <w:r w:rsidR="00690E81">
        <w:rPr>
          <w:color w:val="222222"/>
        </w:rPr>
        <w:t xml:space="preserve">o maior </w:t>
      </w:r>
      <w:r>
        <w:rPr>
          <w:color w:val="222222"/>
        </w:rPr>
        <w:t>desastre ambienta</w:t>
      </w:r>
      <w:r w:rsidR="00690E81">
        <w:rPr>
          <w:color w:val="222222"/>
        </w:rPr>
        <w:t>l</w:t>
      </w:r>
      <w:r>
        <w:rPr>
          <w:color w:val="222222"/>
        </w:rPr>
        <w:t xml:space="preserve"> já registrado no Brasil. O </w:t>
      </w:r>
      <w:r w:rsidRPr="004E67FC">
        <w:rPr>
          <w:color w:val="222222"/>
        </w:rPr>
        <w:t>rompimento da barragem</w:t>
      </w:r>
      <w:r>
        <w:rPr>
          <w:color w:val="222222"/>
        </w:rPr>
        <w:t xml:space="preserve"> de rejeitos de mineração</w:t>
      </w:r>
      <w:r w:rsidRPr="004E67FC">
        <w:rPr>
          <w:color w:val="222222"/>
        </w:rPr>
        <w:t xml:space="preserve"> de Fundão, localizada no município de Mariana, em Minas Gerais, </w:t>
      </w:r>
      <w:r w:rsidR="00690E81">
        <w:rPr>
          <w:color w:val="222222"/>
        </w:rPr>
        <w:t xml:space="preserve">provocou </w:t>
      </w:r>
      <w:r w:rsidR="00690E81">
        <w:rPr>
          <w:color w:val="222222"/>
        </w:rPr>
        <w:lastRenderedPageBreak/>
        <w:t xml:space="preserve">dezenove mortes e </w:t>
      </w:r>
      <w:r>
        <w:rPr>
          <w:color w:val="222222"/>
        </w:rPr>
        <w:t xml:space="preserve">praticamente soterrou o distrito de Bento Rodrigues, situado logo </w:t>
      </w:r>
      <w:r w:rsidR="00A268A0">
        <w:rPr>
          <w:color w:val="222222"/>
        </w:rPr>
        <w:t xml:space="preserve">a </w:t>
      </w:r>
      <w:r>
        <w:rPr>
          <w:color w:val="222222"/>
        </w:rPr>
        <w:t>jusante da barragem</w:t>
      </w:r>
      <w:r w:rsidR="00690E81">
        <w:rPr>
          <w:color w:val="222222"/>
        </w:rPr>
        <w:t>. A onda de lama causou sérios danos sociais, econômicos e ambientais no seu percurso de 663 km até a foz do rio Doce, no Espírito Santo.</w:t>
      </w:r>
    </w:p>
    <w:p w:rsidR="007604A5" w:rsidRDefault="00FE19AE" w:rsidP="007604A5">
      <w:pPr>
        <w:pStyle w:val="04-PargrafodetextoEstudoNotas-CLG"/>
        <w:spacing w:after="240"/>
      </w:pPr>
      <w:r>
        <w:t>Na esfera de atribuições do Poder Legislativo, propomos atividades que permitam ao Senado Federal exercer suas competências legislativa, orçamentária e fiscalizatória.</w:t>
      </w:r>
    </w:p>
    <w:p w:rsidR="00FE19AE" w:rsidRDefault="00FE19AE" w:rsidP="00736524">
      <w:pPr>
        <w:pStyle w:val="04-PargrafodetextoEstudoNotas-CLG"/>
        <w:spacing w:after="240"/>
      </w:pPr>
      <w:r>
        <w:t xml:space="preserve">No </w:t>
      </w:r>
      <w:r w:rsidR="00CC68F8">
        <w:t>plano</w:t>
      </w:r>
      <w:r>
        <w:t xml:space="preserve"> legislativo, </w:t>
      </w:r>
      <w:r w:rsidR="00736524">
        <w:t>é preciso avaliar a necessidade de aperfeiçoamento da Lei da PNSB</w:t>
      </w:r>
      <w:r w:rsidR="00A268A0">
        <w:t>,</w:t>
      </w:r>
      <w:r w:rsidR="00736524">
        <w:t xml:space="preserve"> bem como de regulamentação adicional. </w:t>
      </w:r>
      <w:r w:rsidR="00917689">
        <w:t xml:space="preserve">O objetivo principal é </w:t>
      </w:r>
      <w:r w:rsidR="00736524">
        <w:t xml:space="preserve">aperfeiçoar os dispositivos que tratam dos planos de segurança de barragem, </w:t>
      </w:r>
      <w:r w:rsidR="00917689">
        <w:t xml:space="preserve">dos </w:t>
      </w:r>
      <w:r w:rsidR="00736524">
        <w:t xml:space="preserve">planos de ação de emergência, </w:t>
      </w:r>
      <w:r w:rsidR="00917689">
        <w:t xml:space="preserve">das </w:t>
      </w:r>
      <w:r w:rsidR="00736524">
        <w:t xml:space="preserve">inspeções de segurança regular e especial e </w:t>
      </w:r>
      <w:r w:rsidR="00917689">
        <w:t xml:space="preserve">da </w:t>
      </w:r>
      <w:r w:rsidR="00736524">
        <w:t>revisão periódica de segurança de barragem.</w:t>
      </w:r>
    </w:p>
    <w:p w:rsidR="007604A5" w:rsidRDefault="00FE19AE" w:rsidP="007604A5">
      <w:pPr>
        <w:pStyle w:val="04-PargrafodetextoEstudoNotas-CLG"/>
        <w:spacing w:after="240"/>
      </w:pPr>
      <w:r>
        <w:t xml:space="preserve">Nos planos orçamentário e fiscalizatório, </w:t>
      </w:r>
      <w:r w:rsidR="002F6FFB">
        <w:t>deve-se verificar se as entidades competentes são dotadas dos recursos financeiros, materiais e humanos necessários para</w:t>
      </w:r>
      <w:r w:rsidR="00CC68F8">
        <w:t>, em todo o território nacional,</w:t>
      </w:r>
      <w:r w:rsidR="002F6FFB">
        <w:t xml:space="preserve"> </w:t>
      </w:r>
      <w:r w:rsidR="002F7E7B">
        <w:t>aferir a segurança das barragens e garantir a realização dos reparos necessários para prevenir</w:t>
      </w:r>
      <w:r w:rsidR="00CC68F8">
        <w:t xml:space="preserve"> perdas humanas e prejuízos econômicos</w:t>
      </w:r>
      <w:r w:rsidR="002F7E7B">
        <w:t>.</w:t>
      </w:r>
    </w:p>
    <w:p w:rsidR="00C9201B" w:rsidRDefault="00C9201B" w:rsidP="00692FF4">
      <w:pPr>
        <w:pStyle w:val="04-PargrafodetextoEstudoNotas-CLG"/>
      </w:pPr>
      <w:r>
        <w:t xml:space="preserve">As atividades a seguir propostas objetivam levantar dados necessários para se fazer uma avaliação adequada dessas políticas. </w:t>
      </w:r>
    </w:p>
    <w:p w:rsidR="0023079F" w:rsidRPr="00D30DA0" w:rsidRDefault="0023079F" w:rsidP="0023079F">
      <w:pPr>
        <w:pStyle w:val="04-PargrafodetextoEstudoNotas-CLG"/>
        <w:ind w:firstLine="0"/>
        <w:rPr>
          <w:b/>
        </w:rPr>
      </w:pPr>
      <w:r>
        <w:rPr>
          <w:b/>
        </w:rPr>
        <w:t>2. ATIVIDADES PROPOSTAS</w:t>
      </w:r>
    </w:p>
    <w:p w:rsidR="0023079F" w:rsidRDefault="0023079F" w:rsidP="0023079F">
      <w:pPr>
        <w:pStyle w:val="04-PargrafodetextoEstudoNotas-CLG"/>
      </w:pPr>
      <w:r>
        <w:t>A f</w:t>
      </w:r>
      <w:r w:rsidR="00F04DAD">
        <w:t xml:space="preserve">im de estruturar a </w:t>
      </w:r>
      <w:r w:rsidR="00C9201B">
        <w:t xml:space="preserve">presente avaliação, </w:t>
      </w:r>
      <w:r>
        <w:t>propõem-se as seguintes atividades:</w:t>
      </w:r>
    </w:p>
    <w:p w:rsidR="005B4440" w:rsidRDefault="00CC68F8" w:rsidP="005B4440">
      <w:pPr>
        <w:pStyle w:val="04-PargrafodetextoEstudoNotas-CLG"/>
        <w:numPr>
          <w:ilvl w:val="0"/>
          <w:numId w:val="6"/>
        </w:numPr>
        <w:spacing w:after="0"/>
        <w:ind w:left="2137" w:hanging="357"/>
        <w:contextualSpacing/>
      </w:pPr>
      <w:r>
        <w:lastRenderedPageBreak/>
        <w:t>Encaminhamento de requerimentos de informaç</w:t>
      </w:r>
      <w:r w:rsidR="005B4440">
        <w:t>ões sobre o tema da avaliação</w:t>
      </w:r>
      <w:r>
        <w:t xml:space="preserve"> aos órgãos fiscalizadores federais</w:t>
      </w:r>
      <w:r w:rsidR="005B4440">
        <w:t>: Agência Nacional de Águas, Agência Nacional de Energia Elétrica e Agência Nacional de Mineração;</w:t>
      </w:r>
    </w:p>
    <w:p w:rsidR="0022031C" w:rsidRDefault="0022031C" w:rsidP="0022031C">
      <w:pPr>
        <w:pStyle w:val="04-PargrafodetextoEstudoNotas-CLG"/>
        <w:numPr>
          <w:ilvl w:val="0"/>
          <w:numId w:val="6"/>
        </w:numPr>
        <w:spacing w:after="0"/>
        <w:ind w:left="2137" w:hanging="357"/>
        <w:contextualSpacing/>
      </w:pPr>
      <w:r>
        <w:t xml:space="preserve">Encaminhamento de requerimentos de informações sobre o tema da avaliação aos órgãos empreendedores federais: Ministério da Integração Nacional, Companhia de Desenvolvimento dos Vales </w:t>
      </w:r>
      <w:r w:rsidR="00460428">
        <w:t>do São Francisco e do Parnaíba (CODEVASF), Departamento Nacional de Obras Contra as Secas (DNOCS)</w:t>
      </w:r>
      <w:r w:rsidR="00917689">
        <w:t xml:space="preserve"> e</w:t>
      </w:r>
      <w:r w:rsidR="00460428">
        <w:t xml:space="preserve"> Instituto Nacional de Colonização e Reforma Agrária (INCRA)</w:t>
      </w:r>
      <w:r>
        <w:t>;</w:t>
      </w:r>
    </w:p>
    <w:p w:rsidR="005B4440" w:rsidRDefault="005B4440" w:rsidP="005B4440">
      <w:pPr>
        <w:pStyle w:val="04-PargrafodetextoEstudoNotas-CLG"/>
        <w:numPr>
          <w:ilvl w:val="0"/>
          <w:numId w:val="6"/>
        </w:numPr>
        <w:spacing w:after="0"/>
        <w:ind w:left="2137" w:hanging="357"/>
        <w:contextualSpacing/>
      </w:pPr>
      <w:r>
        <w:t>Levantamento e análise da legislação afeta ao tema da avaliação;</w:t>
      </w:r>
    </w:p>
    <w:p w:rsidR="005B4440" w:rsidRDefault="005B4440" w:rsidP="00E23129">
      <w:pPr>
        <w:pStyle w:val="04-PargrafodetextoEstudoNotas-CLG"/>
        <w:numPr>
          <w:ilvl w:val="0"/>
          <w:numId w:val="6"/>
        </w:numPr>
        <w:spacing w:after="240"/>
        <w:ind w:left="2137" w:hanging="357"/>
      </w:pPr>
      <w:r>
        <w:t>R</w:t>
      </w:r>
      <w:r w:rsidR="0023079F">
        <w:t>ealização de audi</w:t>
      </w:r>
      <w:r w:rsidR="00D22042">
        <w:t>ências públicas</w:t>
      </w:r>
      <w:r w:rsidR="00E23129">
        <w:t xml:space="preserve">, inclusive em outros estados, </w:t>
      </w:r>
      <w:r>
        <w:t xml:space="preserve">para verificar </w:t>
      </w:r>
      <w:r w:rsidRPr="00E23129">
        <w:rPr>
          <w:i/>
        </w:rPr>
        <w:t>in loco</w:t>
      </w:r>
      <w:r>
        <w:t xml:space="preserve"> a situação da segurança de barragens e a atuação dos órgãos fiscalizadores </w:t>
      </w:r>
      <w:r w:rsidR="0022031C">
        <w:t xml:space="preserve">e empreendedores </w:t>
      </w:r>
      <w:r w:rsidR="00E23129">
        <w:t xml:space="preserve">federais e </w:t>
      </w:r>
      <w:r>
        <w:t>estaduais.</w:t>
      </w:r>
    </w:p>
    <w:p w:rsidR="0023079F" w:rsidRDefault="0023079F" w:rsidP="00D22042">
      <w:pPr>
        <w:pStyle w:val="04-PargrafodetextoEstudoNotas-CLG"/>
      </w:pPr>
      <w:r>
        <w:t xml:space="preserve">Sugere-se </w:t>
      </w:r>
      <w:r w:rsidR="00FE7A0F">
        <w:t>a</w:t>
      </w:r>
      <w:r>
        <w:t xml:space="preserve"> realização de audiências públicas</w:t>
      </w:r>
      <w:r w:rsidR="00FE7A0F">
        <w:t xml:space="preserve"> com </w:t>
      </w:r>
      <w:r>
        <w:t xml:space="preserve">representantes </w:t>
      </w:r>
      <w:r w:rsidR="00D22042">
        <w:t xml:space="preserve">do </w:t>
      </w:r>
      <w:r w:rsidR="00361986">
        <w:t>poder público</w:t>
      </w:r>
      <w:r w:rsidR="00D22042">
        <w:t xml:space="preserve">, da </w:t>
      </w:r>
      <w:r w:rsidR="00361986">
        <w:t xml:space="preserve">academia </w:t>
      </w:r>
      <w:r w:rsidR="00D22042">
        <w:t xml:space="preserve">e da sociedade civil. </w:t>
      </w:r>
    </w:p>
    <w:p w:rsidR="0023079F" w:rsidRDefault="0023079F" w:rsidP="0023079F">
      <w:pPr>
        <w:pStyle w:val="04-PargrafodetextoEstudoNotas-CLG"/>
      </w:pPr>
      <w:r>
        <w:t xml:space="preserve">Finalmente, o Plano prevê a elaboração de um relatório </w:t>
      </w:r>
      <w:r w:rsidR="00C30F89">
        <w:t>d</w:t>
      </w:r>
      <w:r>
        <w:t xml:space="preserve">a avaliação, a ser apreciado pela </w:t>
      </w:r>
      <w:r w:rsidR="0061510A">
        <w:t>CDR</w:t>
      </w:r>
      <w:r>
        <w:t xml:space="preserve"> até o final desta sessão legislativa.</w:t>
      </w:r>
    </w:p>
    <w:p w:rsidR="0023079F" w:rsidRDefault="0023079F" w:rsidP="0023079F">
      <w:pPr>
        <w:pStyle w:val="04-PargrafodetextoEstudoNotas-CLG"/>
        <w:ind w:firstLine="0"/>
        <w:rPr>
          <w:b/>
        </w:rPr>
      </w:pPr>
      <w:bookmarkStart w:id="1" w:name="OLE_LINK1"/>
      <w:r w:rsidRPr="00CD65EB">
        <w:rPr>
          <w:b/>
        </w:rPr>
        <w:t xml:space="preserve">3. </w:t>
      </w:r>
      <w:r>
        <w:rPr>
          <w:b/>
        </w:rPr>
        <w:t>CRONOGRAMA</w:t>
      </w:r>
    </w:p>
    <w:bookmarkEnd w:id="1"/>
    <w:p w:rsidR="00460428" w:rsidRDefault="0023079F" w:rsidP="0023079F">
      <w:pPr>
        <w:pStyle w:val="04-PargrafodetextoEstudoNotas-CLG"/>
        <w:sectPr w:rsidR="00460428" w:rsidSect="004A1A54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t xml:space="preserve">Este Plano de Trabalho propõe a seguinte programação para a </w:t>
      </w:r>
      <w:r w:rsidR="00C30F89">
        <w:t>avaliação</w:t>
      </w:r>
      <w:r>
        <w:t>:</w:t>
      </w:r>
      <w:r w:rsidR="00041FE8">
        <w:t xml:space="preserve"> </w:t>
      </w:r>
    </w:p>
    <w:p w:rsidR="000333A9" w:rsidRPr="00460428" w:rsidRDefault="000333A9" w:rsidP="00460428">
      <w:pPr>
        <w:pStyle w:val="04-PargrafodetextoEstudoNotas-CLG"/>
        <w:spacing w:after="0" w:line="240" w:lineRule="auto"/>
        <w:rPr>
          <w:sz w:val="16"/>
          <w:szCs w:val="16"/>
        </w:rPr>
      </w:pPr>
    </w:p>
    <w:tbl>
      <w:tblPr>
        <w:tblW w:w="140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3513"/>
        <w:gridCol w:w="1984"/>
        <w:gridCol w:w="7230"/>
      </w:tblGrid>
      <w:tr w:rsidR="00460428" w:rsidRPr="00460428" w:rsidTr="00460428">
        <w:tc>
          <w:tcPr>
            <w:tcW w:w="1307" w:type="dxa"/>
          </w:tcPr>
          <w:p w:rsidR="0023079F" w:rsidRPr="00460428" w:rsidRDefault="0023079F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Data</w:t>
            </w:r>
          </w:p>
        </w:tc>
        <w:tc>
          <w:tcPr>
            <w:tcW w:w="3513" w:type="dxa"/>
          </w:tcPr>
          <w:p w:rsidR="0023079F" w:rsidRPr="00460428" w:rsidRDefault="0023079F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Atividade</w:t>
            </w:r>
          </w:p>
        </w:tc>
        <w:tc>
          <w:tcPr>
            <w:tcW w:w="1984" w:type="dxa"/>
          </w:tcPr>
          <w:p w:rsidR="0023079F" w:rsidRPr="00460428" w:rsidRDefault="0023079F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Local</w:t>
            </w:r>
          </w:p>
        </w:tc>
        <w:tc>
          <w:tcPr>
            <w:tcW w:w="7230" w:type="dxa"/>
          </w:tcPr>
          <w:p w:rsidR="0023079F" w:rsidRPr="00460428" w:rsidRDefault="0023079F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Convidados</w:t>
            </w:r>
          </w:p>
        </w:tc>
      </w:tr>
      <w:tr w:rsidR="00460428" w:rsidRPr="00BE7DDA" w:rsidTr="00460428">
        <w:tc>
          <w:tcPr>
            <w:tcW w:w="1307" w:type="dxa"/>
          </w:tcPr>
          <w:p w:rsidR="00F12940" w:rsidRPr="00460428" w:rsidRDefault="005B4440" w:rsidP="003A791C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Cs w:val="28"/>
              </w:rPr>
            </w:pPr>
            <w:r w:rsidRPr="00460428">
              <w:rPr>
                <w:szCs w:val="28"/>
              </w:rPr>
              <w:t>A definir</w:t>
            </w:r>
          </w:p>
        </w:tc>
        <w:tc>
          <w:tcPr>
            <w:tcW w:w="3513" w:type="dxa"/>
          </w:tcPr>
          <w:p w:rsidR="00F12940" w:rsidRPr="00460428" w:rsidRDefault="00F12940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b/>
                <w:szCs w:val="28"/>
              </w:rPr>
              <w:t xml:space="preserve">Audiência </w:t>
            </w:r>
            <w:r w:rsidR="00CC34C3" w:rsidRPr="00460428">
              <w:rPr>
                <w:b/>
                <w:szCs w:val="28"/>
              </w:rPr>
              <w:t>pública</w:t>
            </w:r>
            <w:r w:rsidR="005B4440" w:rsidRPr="00460428">
              <w:rPr>
                <w:szCs w:val="28"/>
              </w:rPr>
              <w:br/>
            </w:r>
            <w:r w:rsidR="005B4440" w:rsidRPr="00460428">
              <w:rPr>
                <w:b/>
                <w:szCs w:val="28"/>
              </w:rPr>
              <w:t>Tema</w:t>
            </w:r>
            <w:r w:rsidR="005B4440" w:rsidRPr="00460428">
              <w:rPr>
                <w:szCs w:val="28"/>
              </w:rPr>
              <w:t>: Estágio atual de implantação da Política Nacional de Segurança de Barragens em âmbito federal.</w:t>
            </w:r>
            <w:r w:rsidR="00145EE4" w:rsidRPr="00460428">
              <w:rPr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12940" w:rsidRPr="00460428" w:rsidRDefault="000A7C4B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Brasília</w:t>
            </w:r>
            <w:r w:rsidR="00940868" w:rsidRPr="00460428">
              <w:rPr>
                <w:szCs w:val="28"/>
              </w:rPr>
              <w:br/>
            </w:r>
            <w:r w:rsidRPr="00460428">
              <w:rPr>
                <w:szCs w:val="28"/>
              </w:rPr>
              <w:t>Senado Federal</w:t>
            </w:r>
          </w:p>
        </w:tc>
        <w:tc>
          <w:tcPr>
            <w:tcW w:w="7230" w:type="dxa"/>
          </w:tcPr>
          <w:p w:rsidR="006A681A" w:rsidRPr="00460428" w:rsidRDefault="006A681A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t>Representantes dos seguintes órgãos:</w:t>
            </w:r>
          </w:p>
          <w:p w:rsidR="006A681A" w:rsidRPr="00460428" w:rsidRDefault="006A681A" w:rsidP="003A791C">
            <w:pPr>
              <w:pStyle w:val="Recuodecorpodetexto"/>
              <w:spacing w:beforeLines="20" w:before="48" w:afterLines="20" w:after="48" w:line="240" w:lineRule="auto"/>
              <w:ind w:left="170" w:hanging="170"/>
              <w:jc w:val="left"/>
              <w:rPr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t>-</w:t>
            </w:r>
            <w:r w:rsidR="00A37443" w:rsidRPr="00460428">
              <w:rPr>
                <w:spacing w:val="-2"/>
                <w:szCs w:val="28"/>
              </w:rPr>
              <w:t> </w:t>
            </w:r>
            <w:r w:rsidRPr="00460428">
              <w:rPr>
                <w:spacing w:val="-2"/>
                <w:szCs w:val="28"/>
              </w:rPr>
              <w:t xml:space="preserve">Secretaria de Recursos Hídricos e Qualidade Ambiental do Ministério do Meio Ambiente (Secretaria Executiva do </w:t>
            </w:r>
            <w:r w:rsidR="0022031C" w:rsidRPr="00460428">
              <w:rPr>
                <w:spacing w:val="-2"/>
                <w:szCs w:val="28"/>
              </w:rPr>
              <w:t xml:space="preserve">Conselho Nacional de Recursos Hídricos – </w:t>
            </w:r>
            <w:r w:rsidRPr="00460428">
              <w:rPr>
                <w:spacing w:val="-2"/>
                <w:szCs w:val="28"/>
              </w:rPr>
              <w:t>CNRH)</w:t>
            </w:r>
          </w:p>
          <w:p w:rsidR="006A681A" w:rsidRPr="00460428" w:rsidRDefault="006A681A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t>-</w:t>
            </w:r>
            <w:r w:rsidR="00A37443" w:rsidRPr="00460428">
              <w:rPr>
                <w:spacing w:val="-2"/>
                <w:szCs w:val="28"/>
              </w:rPr>
              <w:t> </w:t>
            </w:r>
            <w:r w:rsidR="0022031C" w:rsidRPr="00460428">
              <w:rPr>
                <w:spacing w:val="-2"/>
                <w:szCs w:val="28"/>
              </w:rPr>
              <w:t>Agência Nacional de Águas (</w:t>
            </w:r>
            <w:r w:rsidRPr="00460428">
              <w:rPr>
                <w:spacing w:val="-2"/>
                <w:szCs w:val="28"/>
              </w:rPr>
              <w:t>ANA</w:t>
            </w:r>
            <w:r w:rsidR="0022031C" w:rsidRPr="00460428">
              <w:rPr>
                <w:spacing w:val="-2"/>
                <w:szCs w:val="28"/>
              </w:rPr>
              <w:t>)</w:t>
            </w:r>
          </w:p>
          <w:p w:rsidR="006A681A" w:rsidRPr="00460428" w:rsidRDefault="006A681A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t>-</w:t>
            </w:r>
            <w:r w:rsidR="00A37443" w:rsidRPr="00460428">
              <w:rPr>
                <w:spacing w:val="-2"/>
                <w:szCs w:val="28"/>
              </w:rPr>
              <w:t> </w:t>
            </w:r>
            <w:r w:rsidR="0022031C" w:rsidRPr="00460428">
              <w:rPr>
                <w:spacing w:val="-2"/>
                <w:szCs w:val="28"/>
              </w:rPr>
              <w:t>Agência Nacional de Energia Elétrica (</w:t>
            </w:r>
            <w:r w:rsidRPr="00460428">
              <w:rPr>
                <w:spacing w:val="-2"/>
                <w:szCs w:val="28"/>
              </w:rPr>
              <w:t>ANEEL</w:t>
            </w:r>
            <w:r w:rsidR="0022031C" w:rsidRPr="00460428">
              <w:rPr>
                <w:spacing w:val="-2"/>
                <w:szCs w:val="28"/>
              </w:rPr>
              <w:t>)</w:t>
            </w:r>
          </w:p>
          <w:p w:rsidR="006A681A" w:rsidRDefault="006A681A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t>-</w:t>
            </w:r>
            <w:r w:rsidR="00A37443" w:rsidRPr="00460428">
              <w:rPr>
                <w:spacing w:val="-2"/>
                <w:szCs w:val="28"/>
              </w:rPr>
              <w:t> </w:t>
            </w:r>
            <w:r w:rsidR="0022031C" w:rsidRPr="00460428">
              <w:rPr>
                <w:spacing w:val="-2"/>
                <w:szCs w:val="28"/>
              </w:rPr>
              <w:t>Agência Nacional de Mineração (</w:t>
            </w:r>
            <w:r w:rsidRPr="00460428">
              <w:rPr>
                <w:spacing w:val="-2"/>
                <w:szCs w:val="28"/>
              </w:rPr>
              <w:t>ANM</w:t>
            </w:r>
            <w:r w:rsidR="0022031C" w:rsidRPr="00460428">
              <w:rPr>
                <w:spacing w:val="-2"/>
                <w:szCs w:val="28"/>
              </w:rPr>
              <w:t>)</w:t>
            </w:r>
          </w:p>
          <w:p w:rsidR="00181CC8" w:rsidRPr="006D6F69" w:rsidRDefault="00D8567A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Departamento Nacional de Obras Contra as Secas (DNOCS)</w:t>
            </w:r>
          </w:p>
        </w:tc>
      </w:tr>
      <w:tr w:rsidR="00460428" w:rsidRPr="00BE7DDA" w:rsidTr="00460428">
        <w:tc>
          <w:tcPr>
            <w:tcW w:w="1307" w:type="dxa"/>
          </w:tcPr>
          <w:p w:rsidR="0023079F" w:rsidRPr="00460428" w:rsidRDefault="005B4440" w:rsidP="003A791C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Cs w:val="28"/>
              </w:rPr>
            </w:pPr>
            <w:r w:rsidRPr="00460428">
              <w:rPr>
                <w:szCs w:val="28"/>
              </w:rPr>
              <w:t>A definir</w:t>
            </w:r>
          </w:p>
        </w:tc>
        <w:tc>
          <w:tcPr>
            <w:tcW w:w="3513" w:type="dxa"/>
          </w:tcPr>
          <w:p w:rsidR="0023079F" w:rsidRPr="00460428" w:rsidRDefault="0023079F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b/>
                <w:szCs w:val="28"/>
              </w:rPr>
              <w:t xml:space="preserve">Audiência </w:t>
            </w:r>
            <w:r w:rsidR="00CC34C3" w:rsidRPr="00460428">
              <w:rPr>
                <w:b/>
                <w:szCs w:val="28"/>
              </w:rPr>
              <w:t xml:space="preserve">pública </w:t>
            </w:r>
            <w:r w:rsidR="00AF42BD" w:rsidRPr="00460428">
              <w:rPr>
                <w:b/>
                <w:szCs w:val="28"/>
              </w:rPr>
              <w:t>regional</w:t>
            </w:r>
            <w:r w:rsidR="00E23129" w:rsidRPr="00460428">
              <w:rPr>
                <w:szCs w:val="28"/>
              </w:rPr>
              <w:br/>
            </w:r>
            <w:r w:rsidR="00E23129" w:rsidRPr="00460428">
              <w:rPr>
                <w:b/>
                <w:szCs w:val="28"/>
              </w:rPr>
              <w:t>Tema</w:t>
            </w:r>
            <w:r w:rsidRPr="00460428">
              <w:rPr>
                <w:szCs w:val="28"/>
              </w:rPr>
              <w:t xml:space="preserve">: </w:t>
            </w:r>
            <w:r w:rsidR="00101192" w:rsidRPr="00460428">
              <w:rPr>
                <w:szCs w:val="28"/>
              </w:rPr>
              <w:t xml:space="preserve">Lições </w:t>
            </w:r>
            <w:r w:rsidR="00D16905" w:rsidRPr="00460428">
              <w:rPr>
                <w:szCs w:val="28"/>
              </w:rPr>
              <w:t xml:space="preserve">sobre segurança de barragens </w:t>
            </w:r>
            <w:r w:rsidR="00101192" w:rsidRPr="00460428">
              <w:rPr>
                <w:szCs w:val="28"/>
              </w:rPr>
              <w:t>aprendidas com o desastre d</w:t>
            </w:r>
            <w:r w:rsidR="003A791C">
              <w:rPr>
                <w:szCs w:val="28"/>
              </w:rPr>
              <w:t>a Barragem de Algodões – Cocal (PI)</w:t>
            </w:r>
          </w:p>
        </w:tc>
        <w:tc>
          <w:tcPr>
            <w:tcW w:w="1984" w:type="dxa"/>
          </w:tcPr>
          <w:p w:rsidR="0023079F" w:rsidRPr="00460428" w:rsidRDefault="003A791C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Cocal </w:t>
            </w:r>
            <w:r w:rsidR="00101192" w:rsidRPr="00460428">
              <w:rPr>
                <w:szCs w:val="28"/>
              </w:rPr>
              <w:t>(</w:t>
            </w:r>
            <w:r>
              <w:rPr>
                <w:szCs w:val="28"/>
              </w:rPr>
              <w:t>PI</w:t>
            </w:r>
            <w:r w:rsidR="00101192" w:rsidRPr="00460428">
              <w:rPr>
                <w:szCs w:val="28"/>
              </w:rPr>
              <w:t>)</w:t>
            </w:r>
          </w:p>
        </w:tc>
        <w:tc>
          <w:tcPr>
            <w:tcW w:w="7230" w:type="dxa"/>
          </w:tcPr>
          <w:p w:rsidR="00A37443" w:rsidRPr="00460428" w:rsidRDefault="00AF42BD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Representante</w:t>
            </w:r>
            <w:r w:rsidR="00A37443" w:rsidRPr="00460428">
              <w:rPr>
                <w:szCs w:val="28"/>
              </w:rPr>
              <w:t>s dos seguintes órgãos:</w:t>
            </w:r>
          </w:p>
          <w:p w:rsidR="003A791C" w:rsidRDefault="003A791C" w:rsidP="003A791C">
            <w:pPr>
              <w:pStyle w:val="Recuodecorpodetexto"/>
              <w:spacing w:beforeLines="20" w:before="48" w:afterLines="20" w:after="48" w:line="240" w:lineRule="auto"/>
              <w:ind w:left="17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</w:t>
            </w:r>
            <w:r w:rsidRPr="00460428">
              <w:rPr>
                <w:b/>
                <w:szCs w:val="28"/>
              </w:rPr>
              <w:t>Entidade</w:t>
            </w:r>
            <w:r>
              <w:rPr>
                <w:b/>
                <w:szCs w:val="28"/>
              </w:rPr>
              <w:t>s</w:t>
            </w:r>
            <w:r w:rsidRPr="00460428">
              <w:rPr>
                <w:b/>
                <w:szCs w:val="28"/>
              </w:rPr>
              <w:t xml:space="preserve"> Fiscalizadora</w:t>
            </w:r>
            <w:r>
              <w:rPr>
                <w:b/>
                <w:szCs w:val="28"/>
              </w:rPr>
              <w:t>s</w:t>
            </w:r>
            <w:r w:rsidRPr="00460428">
              <w:rPr>
                <w:b/>
                <w:szCs w:val="28"/>
              </w:rPr>
              <w:t>:</w:t>
            </w:r>
          </w:p>
          <w:p w:rsidR="003A791C" w:rsidRDefault="003A791C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60428">
              <w:rPr>
                <w:szCs w:val="28"/>
              </w:rPr>
              <w:t xml:space="preserve">Secretaria do Meio Ambiente e Recursos </w:t>
            </w:r>
            <w:r w:rsidR="006D6F69">
              <w:rPr>
                <w:szCs w:val="28"/>
              </w:rPr>
              <w:t>Hídricos</w:t>
            </w:r>
            <w:r w:rsidRPr="00460428">
              <w:rPr>
                <w:szCs w:val="28"/>
              </w:rPr>
              <w:t xml:space="preserve"> do Piauí (SEMAR/PI)</w:t>
            </w:r>
          </w:p>
          <w:p w:rsidR="003A791C" w:rsidRPr="00460428" w:rsidRDefault="003A791C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>- Ministério Público Federal (MPF)</w:t>
            </w:r>
          </w:p>
          <w:p w:rsidR="003A791C" w:rsidRPr="00460428" w:rsidRDefault="003A791C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>- Ministério Público do Estado do Piauí (MPE-PI)</w:t>
            </w:r>
          </w:p>
          <w:p w:rsidR="003A791C" w:rsidRDefault="003A791C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b/>
                <w:szCs w:val="28"/>
              </w:rPr>
            </w:pPr>
            <w:r w:rsidRPr="00460428">
              <w:rPr>
                <w:szCs w:val="28"/>
              </w:rPr>
              <w:t>- </w:t>
            </w:r>
            <w:r w:rsidRPr="00E02A29">
              <w:rPr>
                <w:b/>
                <w:szCs w:val="28"/>
              </w:rPr>
              <w:t>Órgãos</w:t>
            </w:r>
            <w:r>
              <w:rPr>
                <w:szCs w:val="28"/>
              </w:rPr>
              <w:t xml:space="preserve"> </w:t>
            </w:r>
            <w:r w:rsidRPr="00460428">
              <w:rPr>
                <w:b/>
                <w:szCs w:val="28"/>
              </w:rPr>
              <w:t>Empreendedores</w:t>
            </w:r>
            <w:r w:rsidR="006D6F69">
              <w:rPr>
                <w:b/>
                <w:szCs w:val="28"/>
              </w:rPr>
              <w:t>/Pesquisa/Gestão</w:t>
            </w:r>
            <w:r w:rsidRPr="00460428">
              <w:rPr>
                <w:b/>
                <w:szCs w:val="28"/>
              </w:rPr>
              <w:t>:</w:t>
            </w:r>
          </w:p>
          <w:p w:rsidR="003A791C" w:rsidRDefault="003A791C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Departamento Nacional de Obras Contra as Secas (DNOCS)</w:t>
            </w:r>
          </w:p>
          <w:p w:rsidR="00703684" w:rsidRPr="00460428" w:rsidRDefault="00703684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>- Companhia de Pesquisa em Recursos Minerais (CPRM)</w:t>
            </w:r>
          </w:p>
          <w:p w:rsidR="003A791C" w:rsidRPr="00460428" w:rsidRDefault="003A791C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Instituto de Desenvolvimento do Estado do Piauí (IDEPI)</w:t>
            </w:r>
          </w:p>
          <w:p w:rsidR="003A791C" w:rsidRDefault="003A791C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b/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lastRenderedPageBreak/>
              <w:t>- </w:t>
            </w:r>
            <w:r w:rsidRPr="00460428">
              <w:rPr>
                <w:b/>
                <w:spacing w:val="-2"/>
                <w:szCs w:val="28"/>
              </w:rPr>
              <w:t>Academia:</w:t>
            </w:r>
          </w:p>
          <w:p w:rsidR="003A791C" w:rsidRDefault="003A791C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3A791C">
              <w:rPr>
                <w:szCs w:val="28"/>
              </w:rPr>
              <w:t>- Universidade Federal do Piauí (Engenharia Civil)</w:t>
            </w:r>
          </w:p>
          <w:p w:rsidR="003A791C" w:rsidRPr="003A791C" w:rsidRDefault="003A791C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60428">
              <w:rPr>
                <w:spacing w:val="-2"/>
                <w:szCs w:val="28"/>
              </w:rPr>
              <w:t xml:space="preserve">Universidade </w:t>
            </w:r>
            <w:r>
              <w:rPr>
                <w:spacing w:val="-2"/>
                <w:szCs w:val="28"/>
              </w:rPr>
              <w:t xml:space="preserve">Estadual </w:t>
            </w:r>
            <w:r w:rsidRPr="00460428">
              <w:rPr>
                <w:spacing w:val="-2"/>
                <w:szCs w:val="28"/>
              </w:rPr>
              <w:t>do Piauí (Engenharia Civil)</w:t>
            </w:r>
          </w:p>
          <w:p w:rsidR="00B569CC" w:rsidRDefault="003A791C" w:rsidP="003A791C">
            <w:pPr>
              <w:pStyle w:val="Recuodecorpodetexto"/>
              <w:spacing w:beforeLines="20" w:before="48" w:afterLines="20" w:after="48" w:line="240" w:lineRule="auto"/>
              <w:ind w:left="170" w:hanging="170"/>
              <w:jc w:val="left"/>
              <w:rPr>
                <w:b/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t xml:space="preserve">- </w:t>
            </w:r>
            <w:r w:rsidRPr="00460428">
              <w:rPr>
                <w:b/>
                <w:spacing w:val="-2"/>
                <w:szCs w:val="28"/>
              </w:rPr>
              <w:t>Sociedade Civil:</w:t>
            </w:r>
          </w:p>
          <w:p w:rsidR="003A791C" w:rsidRPr="00460428" w:rsidRDefault="00B569CC" w:rsidP="00B569C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569CC">
              <w:rPr>
                <w:szCs w:val="28"/>
              </w:rPr>
              <w:t>Associação das Vítimas e Amigos da Barragem de Algodões (A</w:t>
            </w:r>
            <w:r>
              <w:rPr>
                <w:szCs w:val="28"/>
              </w:rPr>
              <w:t>VABA)</w:t>
            </w:r>
          </w:p>
        </w:tc>
      </w:tr>
      <w:tr w:rsidR="00460428" w:rsidRPr="00460428" w:rsidTr="00460428">
        <w:tc>
          <w:tcPr>
            <w:tcW w:w="1307" w:type="dxa"/>
          </w:tcPr>
          <w:p w:rsidR="00460428" w:rsidRPr="00460428" w:rsidRDefault="000D31CB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E02A29">
              <w:rPr>
                <w:rFonts w:eastAsia="SimSun"/>
                <w:sz w:val="24"/>
                <w:lang w:eastAsia="zh-CN"/>
              </w:rPr>
              <w:lastRenderedPageBreak/>
              <w:br w:type="page"/>
            </w:r>
            <w:r w:rsidR="00460428" w:rsidRPr="00460428">
              <w:rPr>
                <w:b/>
                <w:szCs w:val="28"/>
              </w:rPr>
              <w:t>Data</w:t>
            </w:r>
          </w:p>
        </w:tc>
        <w:tc>
          <w:tcPr>
            <w:tcW w:w="3513" w:type="dxa"/>
          </w:tcPr>
          <w:p w:rsidR="00460428" w:rsidRPr="00460428" w:rsidRDefault="0046042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Atividade</w:t>
            </w:r>
          </w:p>
        </w:tc>
        <w:tc>
          <w:tcPr>
            <w:tcW w:w="1984" w:type="dxa"/>
          </w:tcPr>
          <w:p w:rsidR="00460428" w:rsidRPr="00460428" w:rsidRDefault="0046042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Local</w:t>
            </w:r>
          </w:p>
        </w:tc>
        <w:tc>
          <w:tcPr>
            <w:tcW w:w="7230" w:type="dxa"/>
          </w:tcPr>
          <w:p w:rsidR="00460428" w:rsidRPr="00460428" w:rsidRDefault="0046042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Convidados</w:t>
            </w:r>
          </w:p>
        </w:tc>
      </w:tr>
      <w:tr w:rsidR="00460428" w:rsidRPr="00BE7DDA" w:rsidTr="00460428">
        <w:tc>
          <w:tcPr>
            <w:tcW w:w="1307" w:type="dxa"/>
          </w:tcPr>
          <w:p w:rsidR="0023079F" w:rsidRPr="00460428" w:rsidRDefault="005B4440" w:rsidP="003A791C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Cs w:val="28"/>
              </w:rPr>
            </w:pPr>
            <w:r w:rsidRPr="00460428">
              <w:rPr>
                <w:szCs w:val="28"/>
              </w:rPr>
              <w:t>A definir</w:t>
            </w:r>
          </w:p>
        </w:tc>
        <w:tc>
          <w:tcPr>
            <w:tcW w:w="3513" w:type="dxa"/>
          </w:tcPr>
          <w:p w:rsidR="0023079F" w:rsidRPr="00460428" w:rsidRDefault="0023079F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b/>
                <w:szCs w:val="28"/>
              </w:rPr>
              <w:t xml:space="preserve">Audiência </w:t>
            </w:r>
            <w:r w:rsidR="00CC34C3" w:rsidRPr="00460428">
              <w:rPr>
                <w:b/>
                <w:szCs w:val="28"/>
              </w:rPr>
              <w:t xml:space="preserve">pública </w:t>
            </w:r>
            <w:r w:rsidR="00AF42BD" w:rsidRPr="00460428">
              <w:rPr>
                <w:b/>
                <w:szCs w:val="28"/>
              </w:rPr>
              <w:t>regional</w:t>
            </w:r>
            <w:r w:rsidR="00D16905" w:rsidRPr="00460428">
              <w:rPr>
                <w:b/>
                <w:szCs w:val="28"/>
              </w:rPr>
              <w:br/>
              <w:t>Tema:</w:t>
            </w:r>
            <w:r w:rsidR="00D16905" w:rsidRPr="00460428">
              <w:rPr>
                <w:szCs w:val="28"/>
              </w:rPr>
              <w:t xml:space="preserve"> Segurança de barragens</w:t>
            </w:r>
          </w:p>
        </w:tc>
        <w:tc>
          <w:tcPr>
            <w:tcW w:w="1984" w:type="dxa"/>
          </w:tcPr>
          <w:p w:rsidR="0023079F" w:rsidRPr="00460428" w:rsidRDefault="00D16905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Teresina (PI</w:t>
            </w:r>
            <w:r w:rsidR="004713AD" w:rsidRPr="00460428">
              <w:rPr>
                <w:szCs w:val="28"/>
              </w:rPr>
              <w:t>)</w:t>
            </w:r>
          </w:p>
        </w:tc>
        <w:tc>
          <w:tcPr>
            <w:tcW w:w="7230" w:type="dxa"/>
          </w:tcPr>
          <w:p w:rsidR="00342FB0" w:rsidRPr="00460428" w:rsidRDefault="00342FB0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Representantes dos seguintes órgãos:</w:t>
            </w:r>
          </w:p>
          <w:p w:rsidR="00BE5DF4" w:rsidRDefault="00342FB0" w:rsidP="003A791C">
            <w:pPr>
              <w:pStyle w:val="Recuodecorpodetexto"/>
              <w:spacing w:beforeLines="20" w:before="48" w:afterLines="20" w:after="48" w:line="240" w:lineRule="auto"/>
              <w:ind w:left="17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</w:t>
            </w:r>
            <w:r w:rsidR="00DE2983" w:rsidRPr="00460428">
              <w:rPr>
                <w:b/>
                <w:szCs w:val="28"/>
              </w:rPr>
              <w:t>Entidade Fiscalizadora:</w:t>
            </w:r>
          </w:p>
          <w:p w:rsidR="00342FB0" w:rsidRDefault="00BE5DF4" w:rsidP="00BE5DF4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E2983" w:rsidRPr="00460428">
              <w:rPr>
                <w:szCs w:val="28"/>
              </w:rPr>
              <w:t xml:space="preserve">Secretaria do Meio Ambiente e Recursos Naturais do </w:t>
            </w:r>
            <w:r w:rsidR="00342FB0" w:rsidRPr="00460428">
              <w:rPr>
                <w:szCs w:val="28"/>
              </w:rPr>
              <w:t>Piauí</w:t>
            </w:r>
            <w:r w:rsidR="00DE2983" w:rsidRPr="00460428">
              <w:rPr>
                <w:szCs w:val="28"/>
              </w:rPr>
              <w:t xml:space="preserve"> (SEMAR/PI)</w:t>
            </w:r>
          </w:p>
          <w:p w:rsidR="00BE5DF4" w:rsidRPr="00460428" w:rsidRDefault="00BE5DF4" w:rsidP="00BE5DF4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>- Ministério Público Federal (MPF)</w:t>
            </w:r>
          </w:p>
          <w:p w:rsidR="00BE5DF4" w:rsidRPr="00460428" w:rsidRDefault="00BE5DF4" w:rsidP="00BE5DF4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>- Ministério Público do Estado do Piauí (MPE-PI)</w:t>
            </w:r>
          </w:p>
          <w:p w:rsidR="00E02A29" w:rsidRDefault="00342FB0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b/>
                <w:szCs w:val="28"/>
              </w:rPr>
            </w:pPr>
            <w:r w:rsidRPr="00460428">
              <w:rPr>
                <w:szCs w:val="28"/>
              </w:rPr>
              <w:t>- </w:t>
            </w:r>
            <w:r w:rsidR="00964BEC" w:rsidRPr="00E02A29">
              <w:rPr>
                <w:b/>
                <w:szCs w:val="28"/>
              </w:rPr>
              <w:t>Órgãos</w:t>
            </w:r>
            <w:r w:rsidR="00964BEC">
              <w:rPr>
                <w:szCs w:val="28"/>
              </w:rPr>
              <w:t xml:space="preserve"> </w:t>
            </w:r>
            <w:r w:rsidR="00DE2983" w:rsidRPr="00460428">
              <w:rPr>
                <w:b/>
                <w:szCs w:val="28"/>
              </w:rPr>
              <w:t>Empreendedores:</w:t>
            </w:r>
            <w:r w:rsidR="00E02A29" w:rsidDel="00E02A29">
              <w:rPr>
                <w:b/>
                <w:szCs w:val="28"/>
              </w:rPr>
              <w:t xml:space="preserve"> </w:t>
            </w:r>
          </w:p>
          <w:p w:rsidR="00314BE2" w:rsidRDefault="00DE2983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</w:t>
            </w:r>
            <w:r w:rsidR="00314BE2" w:rsidRPr="00460428">
              <w:rPr>
                <w:szCs w:val="28"/>
              </w:rPr>
              <w:t>Departamento Nacional de Obras Contra as Secas (DNOCS)</w:t>
            </w:r>
          </w:p>
          <w:p w:rsidR="00703684" w:rsidRPr="00460428" w:rsidRDefault="00703684" w:rsidP="00703684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>- Companhia de Pesquisa em Recursos Minerais (CPRM)</w:t>
            </w:r>
          </w:p>
          <w:p w:rsidR="00B76B1A" w:rsidRPr="00460428" w:rsidRDefault="00314BE2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In</w:t>
            </w:r>
            <w:r w:rsidR="00DE2983" w:rsidRPr="00460428">
              <w:rPr>
                <w:szCs w:val="28"/>
              </w:rPr>
              <w:t>s</w:t>
            </w:r>
            <w:r w:rsidRPr="00460428">
              <w:rPr>
                <w:szCs w:val="28"/>
              </w:rPr>
              <w:t>tituto de Desenvolvimento do Estado do Piauí (</w:t>
            </w:r>
            <w:r w:rsidR="00342FB0" w:rsidRPr="00460428">
              <w:rPr>
                <w:szCs w:val="28"/>
              </w:rPr>
              <w:t>IDEPI</w:t>
            </w:r>
            <w:r w:rsidRPr="00460428">
              <w:rPr>
                <w:szCs w:val="28"/>
              </w:rPr>
              <w:t>)</w:t>
            </w:r>
          </w:p>
          <w:p w:rsidR="00BE5DF4" w:rsidRDefault="00BE5DF4" w:rsidP="00BE5DF4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b/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t>- </w:t>
            </w:r>
            <w:r w:rsidRPr="00460428">
              <w:rPr>
                <w:b/>
                <w:spacing w:val="-2"/>
                <w:szCs w:val="28"/>
              </w:rPr>
              <w:t>Academia:</w:t>
            </w:r>
          </w:p>
          <w:p w:rsidR="00BE5DF4" w:rsidRDefault="00BE5DF4" w:rsidP="00BE5DF4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3A791C">
              <w:rPr>
                <w:szCs w:val="28"/>
              </w:rPr>
              <w:t>- Universidade Federal do Piauí (Engenharia Civil)</w:t>
            </w:r>
          </w:p>
          <w:p w:rsidR="00BE5DF4" w:rsidRPr="003A791C" w:rsidRDefault="00BE5DF4" w:rsidP="00BE5DF4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460428">
              <w:rPr>
                <w:spacing w:val="-2"/>
                <w:szCs w:val="28"/>
              </w:rPr>
              <w:t xml:space="preserve">Universidade </w:t>
            </w:r>
            <w:r>
              <w:rPr>
                <w:spacing w:val="-2"/>
                <w:szCs w:val="28"/>
              </w:rPr>
              <w:t xml:space="preserve">Estadual </w:t>
            </w:r>
            <w:r w:rsidRPr="00460428">
              <w:rPr>
                <w:spacing w:val="-2"/>
                <w:szCs w:val="28"/>
              </w:rPr>
              <w:t>do Piauí (Engenharia Civil)</w:t>
            </w:r>
          </w:p>
          <w:p w:rsidR="00B569CC" w:rsidRDefault="0022031C" w:rsidP="003A791C">
            <w:pPr>
              <w:pStyle w:val="Recuodecorpodetexto"/>
              <w:spacing w:beforeLines="20" w:before="48" w:afterLines="20" w:after="48" w:line="240" w:lineRule="auto"/>
              <w:ind w:left="170" w:hanging="170"/>
              <w:jc w:val="left"/>
              <w:rPr>
                <w:b/>
                <w:spacing w:val="-2"/>
                <w:szCs w:val="28"/>
              </w:rPr>
            </w:pPr>
            <w:r w:rsidRPr="00460428">
              <w:rPr>
                <w:spacing w:val="-2"/>
                <w:szCs w:val="28"/>
              </w:rPr>
              <w:t xml:space="preserve">- </w:t>
            </w:r>
            <w:r w:rsidRPr="00460428">
              <w:rPr>
                <w:b/>
                <w:spacing w:val="-2"/>
                <w:szCs w:val="28"/>
              </w:rPr>
              <w:t>Sociedade Civil:</w:t>
            </w:r>
          </w:p>
          <w:p w:rsidR="00B569CC" w:rsidRDefault="00B569CC" w:rsidP="00B569C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B569CC">
              <w:rPr>
                <w:szCs w:val="28"/>
              </w:rPr>
              <w:lastRenderedPageBreak/>
              <w:t xml:space="preserve">- </w:t>
            </w:r>
            <w:r w:rsidR="0022031C" w:rsidRPr="00460428">
              <w:rPr>
                <w:szCs w:val="28"/>
              </w:rPr>
              <w:t>Conselho Regional de Engenharia e Agronomia do Piauí (CREA/PI)</w:t>
            </w:r>
          </w:p>
          <w:p w:rsidR="006D6F69" w:rsidRDefault="006D6F69" w:rsidP="00B569C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>- Conselho Estadual de Recursos Hídricos</w:t>
            </w:r>
          </w:p>
          <w:p w:rsidR="006D6F69" w:rsidRPr="00460428" w:rsidRDefault="006D6F69" w:rsidP="00B569C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>
              <w:rPr>
                <w:szCs w:val="28"/>
              </w:rPr>
              <w:t>- Comitê da Bacia Hidrográfica do Rio Parnaíba</w:t>
            </w:r>
          </w:p>
        </w:tc>
      </w:tr>
      <w:tr w:rsidR="00460428" w:rsidRPr="00BE7DDA" w:rsidTr="00460428">
        <w:tc>
          <w:tcPr>
            <w:tcW w:w="1307" w:type="dxa"/>
          </w:tcPr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Cs w:val="28"/>
              </w:rPr>
            </w:pPr>
            <w:r w:rsidRPr="00460428">
              <w:rPr>
                <w:szCs w:val="28"/>
              </w:rPr>
              <w:lastRenderedPageBreak/>
              <w:t>A definir</w:t>
            </w:r>
          </w:p>
        </w:tc>
        <w:tc>
          <w:tcPr>
            <w:tcW w:w="3513" w:type="dxa"/>
          </w:tcPr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b/>
                <w:szCs w:val="28"/>
              </w:rPr>
              <w:t>Audiência pública regional</w:t>
            </w:r>
            <w:r w:rsidRPr="00460428">
              <w:rPr>
                <w:b/>
                <w:szCs w:val="28"/>
              </w:rPr>
              <w:br/>
              <w:t>Tema:</w:t>
            </w:r>
            <w:r w:rsidRPr="00460428">
              <w:rPr>
                <w:szCs w:val="28"/>
              </w:rPr>
              <w:t xml:space="preserve"> Segurança de barragens</w:t>
            </w:r>
          </w:p>
        </w:tc>
        <w:tc>
          <w:tcPr>
            <w:tcW w:w="1984" w:type="dxa"/>
          </w:tcPr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Natal (RN)</w:t>
            </w:r>
          </w:p>
        </w:tc>
        <w:tc>
          <w:tcPr>
            <w:tcW w:w="7230" w:type="dxa"/>
          </w:tcPr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Representantes dos seguintes órgãos:</w:t>
            </w:r>
          </w:p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left="17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</w:t>
            </w:r>
            <w:r w:rsidRPr="00460428">
              <w:rPr>
                <w:b/>
                <w:szCs w:val="28"/>
              </w:rPr>
              <w:t>Entidade Fiscalizadora:</w:t>
            </w:r>
            <w:r w:rsidRPr="00460428">
              <w:rPr>
                <w:szCs w:val="28"/>
              </w:rPr>
              <w:t xml:space="preserve"> Instituto de Gestão das Águas do Estado do Rio Grande do Norte (IGARN)</w:t>
            </w:r>
          </w:p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</w:t>
            </w:r>
            <w:r w:rsidR="00964BEC" w:rsidRPr="000E3264">
              <w:rPr>
                <w:b/>
                <w:szCs w:val="28"/>
              </w:rPr>
              <w:t>Órgãos</w:t>
            </w:r>
            <w:r w:rsidR="00964BEC">
              <w:rPr>
                <w:szCs w:val="28"/>
              </w:rPr>
              <w:t xml:space="preserve"> </w:t>
            </w:r>
            <w:r w:rsidRPr="00460428">
              <w:rPr>
                <w:b/>
                <w:szCs w:val="28"/>
              </w:rPr>
              <w:t>Empreendedores:</w:t>
            </w:r>
          </w:p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Departamento Nacional de Obras Contra as Secas (DNOCS)</w:t>
            </w:r>
          </w:p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left="34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Secretaria Estadual de Meio Ambiente e Recursos Hídricos (SEMARH/RN)</w:t>
            </w:r>
          </w:p>
          <w:p w:rsidR="00940868" w:rsidRPr="00460428" w:rsidRDefault="00940868" w:rsidP="003A791C">
            <w:pPr>
              <w:pStyle w:val="Recuodecorpodetexto"/>
              <w:spacing w:beforeLines="20" w:before="48" w:afterLines="20" w:after="48" w:line="240" w:lineRule="auto"/>
              <w:ind w:left="170" w:hanging="170"/>
              <w:jc w:val="left"/>
              <w:rPr>
                <w:szCs w:val="28"/>
              </w:rPr>
            </w:pPr>
            <w:r w:rsidRPr="00460428">
              <w:rPr>
                <w:szCs w:val="28"/>
              </w:rPr>
              <w:t>- </w:t>
            </w:r>
            <w:r w:rsidRPr="00460428">
              <w:rPr>
                <w:b/>
                <w:szCs w:val="28"/>
              </w:rPr>
              <w:t>Academia:</w:t>
            </w:r>
            <w:r w:rsidRPr="00460428">
              <w:rPr>
                <w:szCs w:val="28"/>
              </w:rPr>
              <w:t xml:space="preserve"> Universidade Federal do Rio Grande do Norte (Engenharia Civil)</w:t>
            </w:r>
          </w:p>
          <w:p w:rsidR="0022031C" w:rsidRPr="00460428" w:rsidRDefault="0022031C" w:rsidP="003A791C">
            <w:pPr>
              <w:pStyle w:val="Recuodecorpodetexto"/>
              <w:spacing w:beforeLines="20" w:before="48" w:afterLines="20" w:after="48" w:line="240" w:lineRule="auto"/>
              <w:ind w:left="170" w:hanging="170"/>
              <w:jc w:val="left"/>
              <w:rPr>
                <w:szCs w:val="28"/>
              </w:rPr>
            </w:pPr>
            <w:r w:rsidRPr="00460428">
              <w:rPr>
                <w:spacing w:val="-2"/>
                <w:szCs w:val="28"/>
              </w:rPr>
              <w:t xml:space="preserve">- </w:t>
            </w:r>
            <w:r w:rsidRPr="00460428">
              <w:rPr>
                <w:b/>
                <w:spacing w:val="-2"/>
                <w:szCs w:val="28"/>
              </w:rPr>
              <w:t xml:space="preserve">Sociedade Civil: </w:t>
            </w:r>
            <w:r w:rsidRPr="00460428">
              <w:rPr>
                <w:szCs w:val="28"/>
              </w:rPr>
              <w:t>Conselho Regional de Engenharia e Agronomia do Rio Grande do Norte (CREA/RN)</w:t>
            </w:r>
          </w:p>
        </w:tc>
      </w:tr>
      <w:tr w:rsidR="00460428" w:rsidRPr="00460428" w:rsidTr="00460428">
        <w:tc>
          <w:tcPr>
            <w:tcW w:w="1307" w:type="dxa"/>
          </w:tcPr>
          <w:p w:rsidR="00460428" w:rsidRPr="00460428" w:rsidRDefault="000D31CB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3A791C">
              <w:rPr>
                <w:rFonts w:eastAsia="SimSun"/>
                <w:sz w:val="24"/>
                <w:lang w:eastAsia="zh-CN"/>
              </w:rPr>
              <w:br w:type="page"/>
            </w:r>
            <w:r w:rsidR="00460428" w:rsidRPr="00460428">
              <w:rPr>
                <w:b/>
                <w:szCs w:val="28"/>
              </w:rPr>
              <w:t>Data</w:t>
            </w:r>
          </w:p>
        </w:tc>
        <w:tc>
          <w:tcPr>
            <w:tcW w:w="3513" w:type="dxa"/>
          </w:tcPr>
          <w:p w:rsidR="00460428" w:rsidRPr="00460428" w:rsidRDefault="0046042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Atividade</w:t>
            </w:r>
          </w:p>
        </w:tc>
        <w:tc>
          <w:tcPr>
            <w:tcW w:w="1984" w:type="dxa"/>
          </w:tcPr>
          <w:p w:rsidR="00460428" w:rsidRPr="00460428" w:rsidRDefault="0046042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Local</w:t>
            </w:r>
          </w:p>
        </w:tc>
        <w:tc>
          <w:tcPr>
            <w:tcW w:w="7230" w:type="dxa"/>
          </w:tcPr>
          <w:p w:rsidR="00460428" w:rsidRPr="00460428" w:rsidRDefault="00460428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center"/>
              <w:rPr>
                <w:b/>
                <w:szCs w:val="28"/>
              </w:rPr>
            </w:pPr>
            <w:r w:rsidRPr="00460428">
              <w:rPr>
                <w:b/>
                <w:szCs w:val="28"/>
              </w:rPr>
              <w:t>Convidados</w:t>
            </w:r>
          </w:p>
        </w:tc>
      </w:tr>
      <w:tr w:rsidR="00FE7A0F" w:rsidRPr="00BE7DDA" w:rsidTr="00460428">
        <w:trPr>
          <w:cantSplit/>
        </w:trPr>
        <w:tc>
          <w:tcPr>
            <w:tcW w:w="1307" w:type="dxa"/>
          </w:tcPr>
          <w:p w:rsidR="00FE7A0F" w:rsidRPr="00460428" w:rsidRDefault="00F94CE4" w:rsidP="003A791C">
            <w:pPr>
              <w:pStyle w:val="Recuodecorpodetexto"/>
              <w:spacing w:beforeLines="20" w:before="48" w:afterLines="20" w:after="48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Dez/</w:t>
            </w:r>
            <w:r w:rsidR="00FE7A0F" w:rsidRPr="00460428">
              <w:rPr>
                <w:szCs w:val="28"/>
              </w:rPr>
              <w:t>201</w:t>
            </w:r>
            <w:r w:rsidR="005B4440" w:rsidRPr="00460428">
              <w:rPr>
                <w:szCs w:val="28"/>
              </w:rPr>
              <w:t>8</w:t>
            </w:r>
          </w:p>
        </w:tc>
        <w:tc>
          <w:tcPr>
            <w:tcW w:w="12727" w:type="dxa"/>
            <w:gridSpan w:val="3"/>
          </w:tcPr>
          <w:p w:rsidR="00FE7A0F" w:rsidRPr="00460428" w:rsidRDefault="00FE7A0F" w:rsidP="003A791C">
            <w:pPr>
              <w:pStyle w:val="Recuodecorpodetexto"/>
              <w:spacing w:beforeLines="20" w:before="48" w:afterLines="20" w:after="48"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460428">
              <w:rPr>
                <w:b/>
                <w:bCs/>
                <w:szCs w:val="28"/>
              </w:rPr>
              <w:t xml:space="preserve">Apresentação e </w:t>
            </w:r>
            <w:r w:rsidR="00CC34C3" w:rsidRPr="00460428">
              <w:rPr>
                <w:b/>
                <w:bCs/>
                <w:szCs w:val="28"/>
              </w:rPr>
              <w:t xml:space="preserve">votação </w:t>
            </w:r>
            <w:r w:rsidRPr="00460428">
              <w:rPr>
                <w:b/>
                <w:bCs/>
                <w:szCs w:val="28"/>
              </w:rPr>
              <w:t xml:space="preserve">do </w:t>
            </w:r>
            <w:r w:rsidR="00CC34C3" w:rsidRPr="00460428">
              <w:rPr>
                <w:b/>
                <w:bCs/>
                <w:szCs w:val="28"/>
              </w:rPr>
              <w:t>relatório final</w:t>
            </w:r>
            <w:r w:rsidRPr="00460428">
              <w:rPr>
                <w:b/>
                <w:bCs/>
                <w:szCs w:val="28"/>
              </w:rPr>
              <w:t>.</w:t>
            </w:r>
          </w:p>
        </w:tc>
      </w:tr>
    </w:tbl>
    <w:p w:rsidR="001B5616" w:rsidRDefault="001B5616" w:rsidP="00460428">
      <w:pPr>
        <w:pStyle w:val="04-PargrafodetextoEstudoNotas-CLG"/>
      </w:pPr>
    </w:p>
    <w:p w:rsidR="00EC0397" w:rsidRDefault="00EC0397" w:rsidP="00EC0397">
      <w:pPr>
        <w:pStyle w:val="04-PargrafodetextoEstudoNotas-CLG"/>
        <w:spacing w:after="0"/>
        <w:jc w:val="center"/>
      </w:pPr>
      <w:r>
        <w:t>Senador ELMANO FÉRRER</w:t>
      </w:r>
    </w:p>
    <w:p w:rsidR="00EC0397" w:rsidRDefault="00EC0397" w:rsidP="00EC0397">
      <w:pPr>
        <w:pStyle w:val="04-PargrafodetextoEstudoNotas-CLG"/>
        <w:jc w:val="center"/>
      </w:pPr>
      <w:r>
        <w:t>Relator</w:t>
      </w:r>
    </w:p>
    <w:sectPr w:rsidR="00EC0397" w:rsidSect="00460428"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0E2" w:rsidRDefault="00F050E2">
      <w:r>
        <w:separator/>
      </w:r>
    </w:p>
  </w:endnote>
  <w:endnote w:type="continuationSeparator" w:id="0">
    <w:p w:rsidR="00F050E2" w:rsidRDefault="00F0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1C" w:rsidRDefault="003A791C" w:rsidP="004A1A54">
    <w:pPr>
      <w:pStyle w:val="Rodap"/>
      <w:jc w:val="both"/>
      <w:rPr>
        <w:rFonts w:ascii="ITC Stone Sans Std Medium" w:hAnsi="ITC Stone Sans Std Medium"/>
        <w:sz w:val="14"/>
        <w:szCs w:val="14"/>
      </w:rPr>
    </w:pPr>
  </w:p>
  <w:p w:rsidR="003A791C" w:rsidRDefault="003A791C" w:rsidP="004A1A54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0" t="0" r="1905" b="889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791C" w:rsidRPr="00196BF2" w:rsidRDefault="003A791C" w:rsidP="004A1A54">
    <w:pPr>
      <w:pStyle w:val="Rodap"/>
      <w:jc w:val="center"/>
      <w:rPr>
        <w:sz w:val="14"/>
        <w:szCs w:val="14"/>
      </w:rPr>
    </w:pPr>
  </w:p>
  <w:p w:rsidR="003A791C" w:rsidRPr="00173907" w:rsidRDefault="003A791C" w:rsidP="004A1A54">
    <w:pPr>
      <w:pStyle w:val="Rodap"/>
      <w:jc w:val="center"/>
      <w:rPr>
        <w:sz w:val="16"/>
        <w:szCs w:val="16"/>
      </w:rPr>
    </w:pPr>
    <w:r w:rsidRPr="00173907">
      <w:rPr>
        <w:sz w:val="16"/>
        <w:szCs w:val="16"/>
      </w:rPr>
      <w:t xml:space="preserve">Senado Federal – Praça dos Três Poderes – CEP 70165-900 – Brasília DF </w:t>
    </w:r>
  </w:p>
  <w:p w:rsidR="003A791C" w:rsidRPr="00A81B11" w:rsidRDefault="003A791C" w:rsidP="004A1A54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Telefone: +55 </w:t>
    </w:r>
    <w:r w:rsidRPr="00A80C4B">
      <w:rPr>
        <w:sz w:val="16"/>
        <w:szCs w:val="16"/>
      </w:rPr>
      <w:t>(61)</w:t>
    </w:r>
    <w:r>
      <w:rPr>
        <w:sz w:val="16"/>
        <w:szCs w:val="16"/>
      </w:rPr>
      <w:t xml:space="preserve"> </w:t>
    </w:r>
    <w:r w:rsidRPr="00A80C4B">
      <w:rPr>
        <w:sz w:val="16"/>
        <w:szCs w:val="16"/>
      </w:rPr>
      <w:t xml:space="preserve">3303-4141 </w:t>
    </w:r>
    <w:r>
      <w:rPr>
        <w:sz w:val="16"/>
        <w:szCs w:val="16"/>
      </w:rPr>
      <w:t>– alosenado@senado.gov.br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0E2" w:rsidRDefault="00F050E2">
      <w:r>
        <w:separator/>
      </w:r>
    </w:p>
  </w:footnote>
  <w:footnote w:type="continuationSeparator" w:id="0">
    <w:p w:rsidR="00F050E2" w:rsidRDefault="00F050E2">
      <w:r>
        <w:continuationSeparator/>
      </w:r>
    </w:p>
  </w:footnote>
  <w:footnote w:id="1">
    <w:p w:rsidR="003A791C" w:rsidRPr="0060464F" w:rsidRDefault="003A791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736524">
        <w:rPr>
          <w:lang w:val="pt-BR"/>
        </w:rPr>
        <w:t xml:space="preserve"> </w:t>
      </w:r>
      <w:r>
        <w:rPr>
          <w:lang w:val="pt-BR"/>
        </w:rPr>
        <w:t xml:space="preserve">Disponível em </w:t>
      </w:r>
      <w:hyperlink r:id="rId1" w:history="1">
        <w:r w:rsidRPr="00D746F2">
          <w:rPr>
            <w:rStyle w:val="Hyperlink"/>
            <w:lang w:val="pt-BR"/>
          </w:rPr>
          <w:t>https://bit.ly/2xVdwiL</w:t>
        </w:r>
      </w:hyperlink>
      <w:r>
        <w:rPr>
          <w:lang w:val="pt-BR"/>
        </w:rPr>
        <w:t xml:space="preserve"> (Acesso em 08/06/2018).</w:t>
      </w:r>
    </w:p>
  </w:footnote>
  <w:footnote w:id="2">
    <w:p w:rsidR="003A791C" w:rsidRPr="00E402C3" w:rsidRDefault="003A791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736524">
        <w:rPr>
          <w:lang w:val="pt-BR"/>
        </w:rPr>
        <w:t xml:space="preserve"> No Brasil, há 43 entidades potencialmente fiscalizadoras, mas, desse total, apenas 29 possuem barragens sob sua responsabilidade fiscalizatória.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1C" w:rsidRDefault="003A791C" w:rsidP="004A1A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3A791C" w:rsidRDefault="003A791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1C" w:rsidRDefault="003A791C" w:rsidP="004A1A5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C0397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3A791C" w:rsidRDefault="003A791C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91C" w:rsidRDefault="003A791C" w:rsidP="004A1A54">
    <w:pPr>
      <w:pStyle w:val="Cabealho"/>
      <w:spacing w:after="120"/>
      <w:jc w:val="center"/>
    </w:pPr>
    <w:r w:rsidRPr="00B73978">
      <w:rPr>
        <w:noProof/>
      </w:rPr>
      <w:drawing>
        <wp:inline distT="0" distB="0" distL="0" distR="0">
          <wp:extent cx="1219200" cy="933450"/>
          <wp:effectExtent l="0" t="0" r="0" b="0"/>
          <wp:docPr id="1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791C" w:rsidRDefault="003A791C" w:rsidP="004A1A54">
    <w:pPr>
      <w:pStyle w:val="Cabealho"/>
      <w:jc w:val="center"/>
    </w:pPr>
    <w:r w:rsidRPr="00145EE4">
      <w:rPr>
        <w:sz w:val="24"/>
        <w:szCs w:val="24"/>
      </w:rPr>
      <w:t>Comissão de Desenvolvimento Regional e Turismo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419"/>
    <w:multiLevelType w:val="hybridMultilevel"/>
    <w:tmpl w:val="0ACEF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A4993"/>
    <w:multiLevelType w:val="hybridMultilevel"/>
    <w:tmpl w:val="92BEF786"/>
    <w:lvl w:ilvl="0" w:tplc="D910F5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AE7212"/>
    <w:multiLevelType w:val="hybridMultilevel"/>
    <w:tmpl w:val="C750BD2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9E14FF7"/>
    <w:multiLevelType w:val="hybridMultilevel"/>
    <w:tmpl w:val="E5BC01D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FAD4782"/>
    <w:multiLevelType w:val="hybridMultilevel"/>
    <w:tmpl w:val="D39E0674"/>
    <w:lvl w:ilvl="0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5" w15:restartNumberingAfterBreak="0">
    <w:nsid w:val="342C3B56"/>
    <w:multiLevelType w:val="hybridMultilevel"/>
    <w:tmpl w:val="64349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1699E"/>
    <w:multiLevelType w:val="hybridMultilevel"/>
    <w:tmpl w:val="A8D8028C"/>
    <w:lvl w:ilvl="0" w:tplc="00EA558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7A555A62"/>
    <w:multiLevelType w:val="hybridMultilevel"/>
    <w:tmpl w:val="C33AFB4A"/>
    <w:lvl w:ilvl="0" w:tplc="60CE2200">
      <w:start w:val="1"/>
      <w:numFmt w:val="lowerLetter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54"/>
    <w:rsid w:val="00002498"/>
    <w:rsid w:val="00005FC6"/>
    <w:rsid w:val="00022462"/>
    <w:rsid w:val="0002367E"/>
    <w:rsid w:val="0003007B"/>
    <w:rsid w:val="000333A9"/>
    <w:rsid w:val="0003429D"/>
    <w:rsid w:val="00037598"/>
    <w:rsid w:val="00041FE8"/>
    <w:rsid w:val="000532F4"/>
    <w:rsid w:val="000548D6"/>
    <w:rsid w:val="0006350C"/>
    <w:rsid w:val="00064518"/>
    <w:rsid w:val="000677AD"/>
    <w:rsid w:val="00071E67"/>
    <w:rsid w:val="000732B8"/>
    <w:rsid w:val="0007565A"/>
    <w:rsid w:val="00076E5D"/>
    <w:rsid w:val="00093FA7"/>
    <w:rsid w:val="000A5FC8"/>
    <w:rsid w:val="000A710C"/>
    <w:rsid w:val="000A7C4B"/>
    <w:rsid w:val="000B0681"/>
    <w:rsid w:val="000B5ECF"/>
    <w:rsid w:val="000D31CB"/>
    <w:rsid w:val="000E0949"/>
    <w:rsid w:val="00101192"/>
    <w:rsid w:val="00106E4B"/>
    <w:rsid w:val="00107F9D"/>
    <w:rsid w:val="00114D2C"/>
    <w:rsid w:val="001270A7"/>
    <w:rsid w:val="001351B3"/>
    <w:rsid w:val="0013676A"/>
    <w:rsid w:val="00136B68"/>
    <w:rsid w:val="001416F2"/>
    <w:rsid w:val="00142945"/>
    <w:rsid w:val="00144C41"/>
    <w:rsid w:val="00145E61"/>
    <w:rsid w:val="00145EE4"/>
    <w:rsid w:val="0015495D"/>
    <w:rsid w:val="00173907"/>
    <w:rsid w:val="0018029D"/>
    <w:rsid w:val="00181CC8"/>
    <w:rsid w:val="00181E42"/>
    <w:rsid w:val="00182685"/>
    <w:rsid w:val="00183D27"/>
    <w:rsid w:val="001B0A89"/>
    <w:rsid w:val="001B5616"/>
    <w:rsid w:val="001D1DA8"/>
    <w:rsid w:val="001D609B"/>
    <w:rsid w:val="001F328C"/>
    <w:rsid w:val="00202B3D"/>
    <w:rsid w:val="00210592"/>
    <w:rsid w:val="0021514B"/>
    <w:rsid w:val="0022031C"/>
    <w:rsid w:val="00220908"/>
    <w:rsid w:val="0022092D"/>
    <w:rsid w:val="002273BD"/>
    <w:rsid w:val="0023079F"/>
    <w:rsid w:val="00232870"/>
    <w:rsid w:val="002340C8"/>
    <w:rsid w:val="0023796C"/>
    <w:rsid w:val="00264152"/>
    <w:rsid w:val="00264EED"/>
    <w:rsid w:val="002709E6"/>
    <w:rsid w:val="00285357"/>
    <w:rsid w:val="002B1EBD"/>
    <w:rsid w:val="002B37A4"/>
    <w:rsid w:val="002C075B"/>
    <w:rsid w:val="002D1E63"/>
    <w:rsid w:val="002F6FFB"/>
    <w:rsid w:val="002F7E7B"/>
    <w:rsid w:val="00301C9F"/>
    <w:rsid w:val="00305868"/>
    <w:rsid w:val="00305964"/>
    <w:rsid w:val="00314BE2"/>
    <w:rsid w:val="00323291"/>
    <w:rsid w:val="00330863"/>
    <w:rsid w:val="00333271"/>
    <w:rsid w:val="003332FE"/>
    <w:rsid w:val="00335179"/>
    <w:rsid w:val="0033774D"/>
    <w:rsid w:val="00342FB0"/>
    <w:rsid w:val="0035014D"/>
    <w:rsid w:val="0035146B"/>
    <w:rsid w:val="00361986"/>
    <w:rsid w:val="00364E07"/>
    <w:rsid w:val="0036574D"/>
    <w:rsid w:val="00373F4D"/>
    <w:rsid w:val="0039063E"/>
    <w:rsid w:val="00397B36"/>
    <w:rsid w:val="003A37E0"/>
    <w:rsid w:val="003A467D"/>
    <w:rsid w:val="003A791C"/>
    <w:rsid w:val="003B07A0"/>
    <w:rsid w:val="003C2C65"/>
    <w:rsid w:val="003C3B16"/>
    <w:rsid w:val="003D1DEB"/>
    <w:rsid w:val="003E4AB3"/>
    <w:rsid w:val="003E5DD1"/>
    <w:rsid w:val="00402B79"/>
    <w:rsid w:val="00410C76"/>
    <w:rsid w:val="00413D5F"/>
    <w:rsid w:val="00414260"/>
    <w:rsid w:val="004218C8"/>
    <w:rsid w:val="00427702"/>
    <w:rsid w:val="0043044C"/>
    <w:rsid w:val="00460428"/>
    <w:rsid w:val="004713AD"/>
    <w:rsid w:val="004731D8"/>
    <w:rsid w:val="00477B8E"/>
    <w:rsid w:val="00477E6C"/>
    <w:rsid w:val="00482792"/>
    <w:rsid w:val="004916D9"/>
    <w:rsid w:val="0049429F"/>
    <w:rsid w:val="00496F24"/>
    <w:rsid w:val="004A1A54"/>
    <w:rsid w:val="004C32C7"/>
    <w:rsid w:val="004D0C2D"/>
    <w:rsid w:val="004D1C8C"/>
    <w:rsid w:val="004D1CB9"/>
    <w:rsid w:val="004E2708"/>
    <w:rsid w:val="004E521C"/>
    <w:rsid w:val="004E7450"/>
    <w:rsid w:val="004E7565"/>
    <w:rsid w:val="00501701"/>
    <w:rsid w:val="005079AE"/>
    <w:rsid w:val="00513319"/>
    <w:rsid w:val="005165BA"/>
    <w:rsid w:val="005171AB"/>
    <w:rsid w:val="00525E06"/>
    <w:rsid w:val="00534751"/>
    <w:rsid w:val="005411DD"/>
    <w:rsid w:val="00556736"/>
    <w:rsid w:val="00562F0F"/>
    <w:rsid w:val="005868F1"/>
    <w:rsid w:val="00587A69"/>
    <w:rsid w:val="00594A49"/>
    <w:rsid w:val="00595BF7"/>
    <w:rsid w:val="005A18D8"/>
    <w:rsid w:val="005B4440"/>
    <w:rsid w:val="005C034D"/>
    <w:rsid w:val="005C08C2"/>
    <w:rsid w:val="005C73F5"/>
    <w:rsid w:val="005D50E7"/>
    <w:rsid w:val="005E5283"/>
    <w:rsid w:val="005E61CF"/>
    <w:rsid w:val="005F6BA7"/>
    <w:rsid w:val="00600473"/>
    <w:rsid w:val="0060067F"/>
    <w:rsid w:val="00603DE9"/>
    <w:rsid w:val="0060464F"/>
    <w:rsid w:val="00613FB7"/>
    <w:rsid w:val="0061510A"/>
    <w:rsid w:val="00624C55"/>
    <w:rsid w:val="00631269"/>
    <w:rsid w:val="00636DFB"/>
    <w:rsid w:val="00643FC5"/>
    <w:rsid w:val="006454A2"/>
    <w:rsid w:val="0065158D"/>
    <w:rsid w:val="00661345"/>
    <w:rsid w:val="006637FA"/>
    <w:rsid w:val="00674B06"/>
    <w:rsid w:val="0067697B"/>
    <w:rsid w:val="006775B3"/>
    <w:rsid w:val="00681D34"/>
    <w:rsid w:val="00690E81"/>
    <w:rsid w:val="00692FF4"/>
    <w:rsid w:val="00693410"/>
    <w:rsid w:val="0069756A"/>
    <w:rsid w:val="006A681A"/>
    <w:rsid w:val="006B5578"/>
    <w:rsid w:val="006B76A1"/>
    <w:rsid w:val="006C4F1E"/>
    <w:rsid w:val="006C6211"/>
    <w:rsid w:val="006D14C5"/>
    <w:rsid w:val="006D5566"/>
    <w:rsid w:val="006D6F69"/>
    <w:rsid w:val="006F42AE"/>
    <w:rsid w:val="00703684"/>
    <w:rsid w:val="0071041B"/>
    <w:rsid w:val="00713064"/>
    <w:rsid w:val="007279D2"/>
    <w:rsid w:val="007306EF"/>
    <w:rsid w:val="00732D6D"/>
    <w:rsid w:val="007337D7"/>
    <w:rsid w:val="00736524"/>
    <w:rsid w:val="0076043E"/>
    <w:rsid w:val="007604A5"/>
    <w:rsid w:val="00770411"/>
    <w:rsid w:val="007777CA"/>
    <w:rsid w:val="007834F1"/>
    <w:rsid w:val="007866DC"/>
    <w:rsid w:val="007909B4"/>
    <w:rsid w:val="00792EAC"/>
    <w:rsid w:val="00793914"/>
    <w:rsid w:val="00796F68"/>
    <w:rsid w:val="007B21D2"/>
    <w:rsid w:val="007B392F"/>
    <w:rsid w:val="007B561F"/>
    <w:rsid w:val="007C4240"/>
    <w:rsid w:val="007C6BED"/>
    <w:rsid w:val="007E30EE"/>
    <w:rsid w:val="007E427B"/>
    <w:rsid w:val="007E5D0A"/>
    <w:rsid w:val="007E7EC1"/>
    <w:rsid w:val="007F254D"/>
    <w:rsid w:val="007F74C4"/>
    <w:rsid w:val="007F773F"/>
    <w:rsid w:val="00801286"/>
    <w:rsid w:val="0081350C"/>
    <w:rsid w:val="00813EF4"/>
    <w:rsid w:val="00822D51"/>
    <w:rsid w:val="00825B85"/>
    <w:rsid w:val="008308E4"/>
    <w:rsid w:val="0083274B"/>
    <w:rsid w:val="00836A58"/>
    <w:rsid w:val="00840229"/>
    <w:rsid w:val="00840FD7"/>
    <w:rsid w:val="00841FE8"/>
    <w:rsid w:val="00860FD6"/>
    <w:rsid w:val="0087059E"/>
    <w:rsid w:val="00880060"/>
    <w:rsid w:val="00881A29"/>
    <w:rsid w:val="00895C89"/>
    <w:rsid w:val="008A1779"/>
    <w:rsid w:val="008A221B"/>
    <w:rsid w:val="008A372D"/>
    <w:rsid w:val="008B170E"/>
    <w:rsid w:val="008B3A0A"/>
    <w:rsid w:val="008F12EB"/>
    <w:rsid w:val="009116D2"/>
    <w:rsid w:val="00911CE0"/>
    <w:rsid w:val="00913A0C"/>
    <w:rsid w:val="00917689"/>
    <w:rsid w:val="00921CC5"/>
    <w:rsid w:val="009223F3"/>
    <w:rsid w:val="00925FF1"/>
    <w:rsid w:val="0093037C"/>
    <w:rsid w:val="00931627"/>
    <w:rsid w:val="00940868"/>
    <w:rsid w:val="0094143F"/>
    <w:rsid w:val="00942B66"/>
    <w:rsid w:val="00943B7E"/>
    <w:rsid w:val="00950EDB"/>
    <w:rsid w:val="009520D1"/>
    <w:rsid w:val="00954E4C"/>
    <w:rsid w:val="00957B02"/>
    <w:rsid w:val="0096003A"/>
    <w:rsid w:val="009614EA"/>
    <w:rsid w:val="00964BEC"/>
    <w:rsid w:val="00965454"/>
    <w:rsid w:val="009674A1"/>
    <w:rsid w:val="0098263E"/>
    <w:rsid w:val="00991D52"/>
    <w:rsid w:val="009A12A9"/>
    <w:rsid w:val="009A44ED"/>
    <w:rsid w:val="009A4F08"/>
    <w:rsid w:val="009B358D"/>
    <w:rsid w:val="009C4D06"/>
    <w:rsid w:val="009D01F7"/>
    <w:rsid w:val="009D50F7"/>
    <w:rsid w:val="009D5772"/>
    <w:rsid w:val="009E0D1A"/>
    <w:rsid w:val="009F29EB"/>
    <w:rsid w:val="009F2DAF"/>
    <w:rsid w:val="009F3DF9"/>
    <w:rsid w:val="00A03C87"/>
    <w:rsid w:val="00A1725A"/>
    <w:rsid w:val="00A25FF9"/>
    <w:rsid w:val="00A268A0"/>
    <w:rsid w:val="00A35C6E"/>
    <w:rsid w:val="00A365DB"/>
    <w:rsid w:val="00A37443"/>
    <w:rsid w:val="00A37788"/>
    <w:rsid w:val="00A42EAB"/>
    <w:rsid w:val="00A43632"/>
    <w:rsid w:val="00A479D5"/>
    <w:rsid w:val="00A61CC9"/>
    <w:rsid w:val="00A63124"/>
    <w:rsid w:val="00A637A2"/>
    <w:rsid w:val="00A70B30"/>
    <w:rsid w:val="00A90024"/>
    <w:rsid w:val="00A94A13"/>
    <w:rsid w:val="00A95188"/>
    <w:rsid w:val="00AA130C"/>
    <w:rsid w:val="00AA284D"/>
    <w:rsid w:val="00AA3FE4"/>
    <w:rsid w:val="00AB50B1"/>
    <w:rsid w:val="00AC4094"/>
    <w:rsid w:val="00AC6722"/>
    <w:rsid w:val="00AD7F7F"/>
    <w:rsid w:val="00AF42BD"/>
    <w:rsid w:val="00B008B0"/>
    <w:rsid w:val="00B024AA"/>
    <w:rsid w:val="00B1349B"/>
    <w:rsid w:val="00B26E54"/>
    <w:rsid w:val="00B35A80"/>
    <w:rsid w:val="00B36E33"/>
    <w:rsid w:val="00B46AF0"/>
    <w:rsid w:val="00B569CC"/>
    <w:rsid w:val="00B57F11"/>
    <w:rsid w:val="00B651CE"/>
    <w:rsid w:val="00B65943"/>
    <w:rsid w:val="00B7678E"/>
    <w:rsid w:val="00B76B1A"/>
    <w:rsid w:val="00B839C1"/>
    <w:rsid w:val="00B87E38"/>
    <w:rsid w:val="00BA340A"/>
    <w:rsid w:val="00BB2670"/>
    <w:rsid w:val="00BD13F2"/>
    <w:rsid w:val="00BD35A6"/>
    <w:rsid w:val="00BD4094"/>
    <w:rsid w:val="00BE011F"/>
    <w:rsid w:val="00BE1AD0"/>
    <w:rsid w:val="00BE59C7"/>
    <w:rsid w:val="00BE5DF4"/>
    <w:rsid w:val="00BE6F1B"/>
    <w:rsid w:val="00BE7DDA"/>
    <w:rsid w:val="00BF4AA9"/>
    <w:rsid w:val="00BF5919"/>
    <w:rsid w:val="00BF5E65"/>
    <w:rsid w:val="00C1302F"/>
    <w:rsid w:val="00C1376A"/>
    <w:rsid w:val="00C1515B"/>
    <w:rsid w:val="00C230B3"/>
    <w:rsid w:val="00C30F89"/>
    <w:rsid w:val="00C44553"/>
    <w:rsid w:val="00C47DE4"/>
    <w:rsid w:val="00C51AE7"/>
    <w:rsid w:val="00C51F60"/>
    <w:rsid w:val="00C53B32"/>
    <w:rsid w:val="00C5532F"/>
    <w:rsid w:val="00C5666C"/>
    <w:rsid w:val="00C81143"/>
    <w:rsid w:val="00C9201B"/>
    <w:rsid w:val="00C97720"/>
    <w:rsid w:val="00CA2A6F"/>
    <w:rsid w:val="00CA2C99"/>
    <w:rsid w:val="00CB4CA5"/>
    <w:rsid w:val="00CC0819"/>
    <w:rsid w:val="00CC34C3"/>
    <w:rsid w:val="00CC4039"/>
    <w:rsid w:val="00CC68F8"/>
    <w:rsid w:val="00CD38D9"/>
    <w:rsid w:val="00CD3E07"/>
    <w:rsid w:val="00CD47D1"/>
    <w:rsid w:val="00CD55FB"/>
    <w:rsid w:val="00CE682F"/>
    <w:rsid w:val="00CF115D"/>
    <w:rsid w:val="00CF1612"/>
    <w:rsid w:val="00CF507D"/>
    <w:rsid w:val="00D031CA"/>
    <w:rsid w:val="00D12DE8"/>
    <w:rsid w:val="00D16905"/>
    <w:rsid w:val="00D22042"/>
    <w:rsid w:val="00D30515"/>
    <w:rsid w:val="00D30A23"/>
    <w:rsid w:val="00D40142"/>
    <w:rsid w:val="00D5212C"/>
    <w:rsid w:val="00D532E0"/>
    <w:rsid w:val="00D570F1"/>
    <w:rsid w:val="00D61B52"/>
    <w:rsid w:val="00D6307A"/>
    <w:rsid w:val="00D75099"/>
    <w:rsid w:val="00D8567A"/>
    <w:rsid w:val="00D92D16"/>
    <w:rsid w:val="00DA2F6B"/>
    <w:rsid w:val="00DB1C25"/>
    <w:rsid w:val="00DB7A81"/>
    <w:rsid w:val="00DD277F"/>
    <w:rsid w:val="00DE1F71"/>
    <w:rsid w:val="00DE20B3"/>
    <w:rsid w:val="00DE2983"/>
    <w:rsid w:val="00DF01F1"/>
    <w:rsid w:val="00DF343B"/>
    <w:rsid w:val="00DF37B4"/>
    <w:rsid w:val="00DF4D99"/>
    <w:rsid w:val="00DF5898"/>
    <w:rsid w:val="00E0295A"/>
    <w:rsid w:val="00E02A29"/>
    <w:rsid w:val="00E069E9"/>
    <w:rsid w:val="00E133D3"/>
    <w:rsid w:val="00E22D89"/>
    <w:rsid w:val="00E23129"/>
    <w:rsid w:val="00E31CFD"/>
    <w:rsid w:val="00E32091"/>
    <w:rsid w:val="00E402C3"/>
    <w:rsid w:val="00E41744"/>
    <w:rsid w:val="00E67199"/>
    <w:rsid w:val="00E750CC"/>
    <w:rsid w:val="00E82D25"/>
    <w:rsid w:val="00E83E52"/>
    <w:rsid w:val="00E864F7"/>
    <w:rsid w:val="00E92192"/>
    <w:rsid w:val="00E959EF"/>
    <w:rsid w:val="00EB7B61"/>
    <w:rsid w:val="00EC0397"/>
    <w:rsid w:val="00EC7930"/>
    <w:rsid w:val="00ED3006"/>
    <w:rsid w:val="00EE7092"/>
    <w:rsid w:val="00EF0739"/>
    <w:rsid w:val="00EF1A98"/>
    <w:rsid w:val="00EF27C2"/>
    <w:rsid w:val="00F0128A"/>
    <w:rsid w:val="00F0408A"/>
    <w:rsid w:val="00F04DAD"/>
    <w:rsid w:val="00F050E2"/>
    <w:rsid w:val="00F12940"/>
    <w:rsid w:val="00F130B1"/>
    <w:rsid w:val="00F14465"/>
    <w:rsid w:val="00F164BE"/>
    <w:rsid w:val="00F32BE8"/>
    <w:rsid w:val="00F33942"/>
    <w:rsid w:val="00F501D2"/>
    <w:rsid w:val="00F56D04"/>
    <w:rsid w:val="00F65114"/>
    <w:rsid w:val="00F67A7E"/>
    <w:rsid w:val="00F701AB"/>
    <w:rsid w:val="00F70E4B"/>
    <w:rsid w:val="00F77EE3"/>
    <w:rsid w:val="00F90FC3"/>
    <w:rsid w:val="00F94CE4"/>
    <w:rsid w:val="00F94E67"/>
    <w:rsid w:val="00F953BE"/>
    <w:rsid w:val="00FB4073"/>
    <w:rsid w:val="00FB69F5"/>
    <w:rsid w:val="00FC3D59"/>
    <w:rsid w:val="00FC49FB"/>
    <w:rsid w:val="00FE19AE"/>
    <w:rsid w:val="00FE1A10"/>
    <w:rsid w:val="00FE6064"/>
    <w:rsid w:val="00FE7A0F"/>
    <w:rsid w:val="00FF10BC"/>
    <w:rsid w:val="00FF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CFBE68-CF69-4BD2-91D2-F900E35B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F6B"/>
    <w:rPr>
      <w:rFonts w:eastAsia="SimSun"/>
      <w:sz w:val="24"/>
      <w:szCs w:val="24"/>
      <w:lang w:val="en-US" w:eastAsia="zh-CN"/>
    </w:rPr>
  </w:style>
  <w:style w:type="paragraph" w:styleId="Ttulo4">
    <w:name w:val="heading 4"/>
    <w:basedOn w:val="Normal"/>
    <w:next w:val="Normal"/>
    <w:link w:val="Ttulo4Char"/>
    <w:qFormat/>
    <w:rsid w:val="0023079F"/>
    <w:pPr>
      <w:keepNext/>
      <w:jc w:val="both"/>
      <w:outlineLvl w:val="3"/>
    </w:pPr>
    <w:rPr>
      <w:rFonts w:eastAsia="Calibri"/>
      <w:sz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- CLG"/>
    <w:link w:val="CabealhoChar"/>
    <w:semiHidden/>
    <w:rsid w:val="004A1A54"/>
    <w:pPr>
      <w:tabs>
        <w:tab w:val="center" w:pos="4419"/>
        <w:tab w:val="right" w:pos="8838"/>
      </w:tabs>
    </w:pPr>
  </w:style>
  <w:style w:type="character" w:styleId="Nmerodepgina">
    <w:name w:val="page number"/>
    <w:aliases w:val="Número de página - CLG"/>
    <w:basedOn w:val="Fontepargpadro"/>
    <w:semiHidden/>
    <w:rsid w:val="004A1A54"/>
  </w:style>
  <w:style w:type="paragraph" w:styleId="Rodap">
    <w:name w:val="footer"/>
    <w:aliases w:val="Rodapé - CLG"/>
    <w:basedOn w:val="Normal"/>
    <w:link w:val="RodapChar"/>
    <w:semiHidden/>
    <w:rsid w:val="004A1A54"/>
    <w:pPr>
      <w:tabs>
        <w:tab w:val="center" w:pos="4419"/>
        <w:tab w:val="right" w:pos="8838"/>
      </w:tabs>
    </w:pPr>
    <w:rPr>
      <w:rFonts w:eastAsia="Times New Roman"/>
      <w:sz w:val="20"/>
      <w:szCs w:val="20"/>
      <w:lang w:val="pt-BR" w:eastAsia="pt-BR"/>
    </w:rPr>
  </w:style>
  <w:style w:type="paragraph" w:customStyle="1" w:styleId="01-TtuloEstudoNota-CLG">
    <w:name w:val="01 - Título Estudo Nota - CLG"/>
    <w:link w:val="01-TtuloEstudoNota-CLGChar"/>
    <w:rsid w:val="004A1A54"/>
    <w:pPr>
      <w:spacing w:after="1200"/>
      <w:jc w:val="center"/>
    </w:pPr>
    <w:rPr>
      <w:b/>
      <w:bCs/>
      <w:sz w:val="34"/>
    </w:rPr>
  </w:style>
  <w:style w:type="paragraph" w:customStyle="1" w:styleId="02-EmentaEstudoNota-CLG">
    <w:name w:val="02 - Ementa Estudo Nota - CLG"/>
    <w:link w:val="02-EmentaEstudoNota-CLGChar"/>
    <w:rsid w:val="004A1A54"/>
    <w:pPr>
      <w:spacing w:after="1200"/>
      <w:ind w:left="3686"/>
      <w:jc w:val="both"/>
    </w:pPr>
    <w:rPr>
      <w:sz w:val="24"/>
    </w:rPr>
  </w:style>
  <w:style w:type="paragraph" w:customStyle="1" w:styleId="04-PargrafodetextoEstudoNotas-CLG">
    <w:name w:val="04 - Parágrafo de texto Estudo Notas - CLG"/>
    <w:link w:val="04-PargrafodetextoEstudoNotas-CLGChar"/>
    <w:rsid w:val="004A1A54"/>
    <w:pPr>
      <w:spacing w:after="360" w:line="360" w:lineRule="auto"/>
      <w:ind w:firstLine="1418"/>
      <w:jc w:val="both"/>
    </w:pPr>
    <w:rPr>
      <w:sz w:val="28"/>
    </w:rPr>
  </w:style>
  <w:style w:type="paragraph" w:customStyle="1" w:styleId="07-LocaleDataEstudoNotas-CLG">
    <w:name w:val="07 - Local e Data Estudo Notas - CLG"/>
    <w:link w:val="07-LocaleDataEstudoNotas-CLGChar"/>
    <w:rsid w:val="004A1A54"/>
    <w:pPr>
      <w:spacing w:before="960" w:after="840"/>
      <w:ind w:left="2124"/>
    </w:pPr>
    <w:rPr>
      <w:sz w:val="28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4A1A54"/>
    <w:pPr>
      <w:jc w:val="center"/>
    </w:pPr>
    <w:rPr>
      <w:sz w:val="28"/>
    </w:rPr>
  </w:style>
  <w:style w:type="character" w:customStyle="1" w:styleId="01-TtuloEstudoNota-CLGChar">
    <w:name w:val="01 - Título Estudo Nota - CLG Char"/>
    <w:link w:val="01-TtuloEstudoNota-CLG"/>
    <w:rsid w:val="004A1A54"/>
    <w:rPr>
      <w:b/>
      <w:bCs/>
      <w:sz w:val="34"/>
      <w:lang w:val="pt-BR" w:eastAsia="pt-BR" w:bidi="ar-SA"/>
    </w:rPr>
  </w:style>
  <w:style w:type="character" w:customStyle="1" w:styleId="02-EmentaEstudoNota-CLGChar">
    <w:name w:val="02 - Ementa Estudo Nota - CLG Char"/>
    <w:link w:val="02-EmentaEstudoNota-CLG"/>
    <w:rsid w:val="004A1A54"/>
    <w:rPr>
      <w:sz w:val="24"/>
      <w:lang w:val="pt-BR" w:eastAsia="pt-BR" w:bidi="ar-SA"/>
    </w:rPr>
  </w:style>
  <w:style w:type="character" w:customStyle="1" w:styleId="04-PargrafodetextoEstudoNotas-CLGChar">
    <w:name w:val="04 - Parágrafo de texto Estudo Notas - CLG Char"/>
    <w:link w:val="04-PargrafodetextoEstudoNotas-CLG"/>
    <w:rsid w:val="004A1A54"/>
    <w:rPr>
      <w:sz w:val="28"/>
      <w:lang w:val="pt-BR" w:eastAsia="pt-BR" w:bidi="ar-SA"/>
    </w:rPr>
  </w:style>
  <w:style w:type="character" w:customStyle="1" w:styleId="07-LocaleDataEstudoNotas-CLGChar">
    <w:name w:val="07 - Local e Data Estudo Notas - CLG Char"/>
    <w:link w:val="07-LocaleDataEstudoNotas-CLG"/>
    <w:rsid w:val="004A1A54"/>
    <w:rPr>
      <w:sz w:val="28"/>
      <w:lang w:val="pt-BR" w:eastAsia="pt-BR" w:bidi="ar-SA"/>
    </w:rPr>
  </w:style>
  <w:style w:type="character" w:customStyle="1" w:styleId="08-IdentificaoConsultor-CargoEstudoNota-CLGChar">
    <w:name w:val="08 - Identificação Consultor-Cargo Estudo Nota - CLG Char"/>
    <w:link w:val="08-IdentificaoConsultor-CargoEstudoNota-CLG"/>
    <w:rsid w:val="004A1A54"/>
    <w:rPr>
      <w:sz w:val="28"/>
      <w:lang w:val="pt-BR" w:eastAsia="pt-BR" w:bidi="ar-SA"/>
    </w:rPr>
  </w:style>
  <w:style w:type="character" w:customStyle="1" w:styleId="CabealhoChar">
    <w:name w:val="Cabeçalho Char"/>
    <w:aliases w:val="Cabeçalho - CLG Char"/>
    <w:link w:val="Cabealho"/>
    <w:semiHidden/>
    <w:rsid w:val="004A1A54"/>
    <w:rPr>
      <w:lang w:val="pt-BR" w:eastAsia="pt-BR" w:bidi="ar-SA"/>
    </w:rPr>
  </w:style>
  <w:style w:type="character" w:customStyle="1" w:styleId="RodapChar">
    <w:name w:val="Rodapé Char"/>
    <w:aliases w:val="Rodapé - CLG Char"/>
    <w:link w:val="Rodap"/>
    <w:rsid w:val="004A1A54"/>
    <w:rPr>
      <w:lang w:val="pt-BR" w:eastAsia="pt-BR" w:bidi="ar-SA"/>
    </w:rPr>
  </w:style>
  <w:style w:type="paragraph" w:customStyle="1" w:styleId="03-SubttuloEstudoNota-CLG">
    <w:name w:val="03 - Subtítulo Estudo Nota - CLG"/>
    <w:rsid w:val="004A1A54"/>
    <w:pPr>
      <w:spacing w:after="360" w:line="420" w:lineRule="exact"/>
      <w:ind w:left="357" w:hanging="357"/>
    </w:pPr>
    <w:rPr>
      <w:sz w:val="28"/>
    </w:rPr>
  </w:style>
  <w:style w:type="paragraph" w:customStyle="1" w:styleId="05-Citaolegal-linhasiniciais-CLG">
    <w:name w:val="05 - Citação legal - linhas iniciais - CLG"/>
    <w:rsid w:val="004A1A54"/>
    <w:pPr>
      <w:spacing w:after="120"/>
      <w:ind w:left="1985" w:firstLine="567"/>
      <w:jc w:val="both"/>
    </w:pPr>
    <w:rPr>
      <w:bCs/>
      <w:sz w:val="24"/>
    </w:rPr>
  </w:style>
  <w:style w:type="paragraph" w:customStyle="1" w:styleId="06-Citaolegal-linhafinal-CLG">
    <w:name w:val="06 - Citação legal - linha final - CLG"/>
    <w:rsid w:val="004A1A54"/>
    <w:pPr>
      <w:spacing w:after="480"/>
      <w:ind w:left="1985" w:firstLine="567"/>
      <w:jc w:val="both"/>
    </w:pPr>
    <w:rPr>
      <w:sz w:val="24"/>
    </w:rPr>
  </w:style>
  <w:style w:type="character" w:styleId="Refdenotaderodap">
    <w:name w:val="footnote reference"/>
    <w:uiPriority w:val="99"/>
    <w:semiHidden/>
    <w:rsid w:val="009F3DF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D92D16"/>
    <w:rPr>
      <w:sz w:val="20"/>
      <w:szCs w:val="20"/>
    </w:rPr>
  </w:style>
  <w:style w:type="character" w:styleId="Hyperlink">
    <w:name w:val="Hyperlink"/>
    <w:rsid w:val="008F12EB"/>
    <w:rPr>
      <w:color w:val="0000FF"/>
      <w:u w:val="single"/>
    </w:rPr>
  </w:style>
  <w:style w:type="character" w:styleId="Refdecomentrio">
    <w:name w:val="annotation reference"/>
    <w:rsid w:val="005C73F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73F5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5C73F5"/>
    <w:rPr>
      <w:rFonts w:eastAsia="SimSun"/>
      <w:lang w:val="en-US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C73F5"/>
    <w:rPr>
      <w:b/>
      <w:bCs/>
    </w:rPr>
  </w:style>
  <w:style w:type="character" w:customStyle="1" w:styleId="AssuntodocomentrioChar">
    <w:name w:val="Assunto do comentário Char"/>
    <w:link w:val="Assuntodocomentrio"/>
    <w:rsid w:val="005C73F5"/>
    <w:rPr>
      <w:rFonts w:eastAsia="SimSun"/>
      <w:b/>
      <w:bCs/>
      <w:lang w:val="en-US" w:eastAsia="zh-CN"/>
    </w:rPr>
  </w:style>
  <w:style w:type="paragraph" w:styleId="Textodebalo">
    <w:name w:val="Balloon Text"/>
    <w:basedOn w:val="Normal"/>
    <w:link w:val="TextodebaloChar"/>
    <w:rsid w:val="005C73F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C73F5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Ttulo4Char">
    <w:name w:val="Título 4 Char"/>
    <w:link w:val="Ttulo4"/>
    <w:locked/>
    <w:rsid w:val="0023079F"/>
    <w:rPr>
      <w:rFonts w:eastAsia="Calibri"/>
      <w:sz w:val="28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23079F"/>
    <w:pPr>
      <w:spacing w:line="360" w:lineRule="auto"/>
      <w:ind w:firstLine="1440"/>
      <w:jc w:val="both"/>
    </w:pPr>
    <w:rPr>
      <w:rFonts w:eastAsia="Calibri"/>
      <w:sz w:val="28"/>
      <w:lang w:val="pt-BR" w:eastAsia="pt-BR"/>
    </w:rPr>
  </w:style>
  <w:style w:type="character" w:customStyle="1" w:styleId="RecuodecorpodetextoChar">
    <w:name w:val="Recuo de corpo de texto Char"/>
    <w:link w:val="Recuodecorpodetexto"/>
    <w:semiHidden/>
    <w:locked/>
    <w:rsid w:val="0023079F"/>
    <w:rPr>
      <w:rFonts w:eastAsia="Calibri"/>
      <w:sz w:val="28"/>
      <w:szCs w:val="24"/>
      <w:lang w:val="pt-BR" w:eastAsia="pt-BR" w:bidi="ar-SA"/>
    </w:rPr>
  </w:style>
  <w:style w:type="table" w:styleId="Tabelacomgrade">
    <w:name w:val="Table Grid"/>
    <w:basedOn w:val="Tabelanormal"/>
    <w:rsid w:val="002B37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9-IdentificaoParlamentar-CLG">
    <w:name w:val="09 - Identificação Parlamentar - CLG"/>
    <w:rsid w:val="003C2C65"/>
    <w:pPr>
      <w:ind w:firstLine="1440"/>
      <w:jc w:val="center"/>
    </w:pPr>
    <w:rPr>
      <w:sz w:val="28"/>
    </w:rPr>
  </w:style>
  <w:style w:type="character" w:styleId="HiperlinkVisitado">
    <w:name w:val="FollowedHyperlink"/>
    <w:rsid w:val="00534751"/>
    <w:rPr>
      <w:color w:val="800080"/>
      <w:u w:val="singl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04A5"/>
    <w:rPr>
      <w:rFonts w:eastAsia="SimSu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t.ly/2xVdw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0F62-5483-4118-97D8-C7746BAB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1417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Nº , DE 2012</vt:lpstr>
    </vt:vector>
  </TitlesOfParts>
  <Company>Senado Federal</Company>
  <LinksUpToDate>false</LinksUpToDate>
  <CharactersWithSpaces>9604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https://bit.ly/2xVdwiL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Nº , DE 2012</dc:title>
  <dc:creator>hfraxe</dc:creator>
  <cp:lastModifiedBy>Jose Solon de Oliveira Braga Filho</cp:lastModifiedBy>
  <cp:revision>3</cp:revision>
  <dcterms:created xsi:type="dcterms:W3CDTF">2018-06-19T19:22:00Z</dcterms:created>
  <dcterms:modified xsi:type="dcterms:W3CDTF">2018-06-19T19:30:00Z</dcterms:modified>
</cp:coreProperties>
</file>