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50" w:rsidRPr="0025165E" w:rsidRDefault="00EF665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650" w:rsidRPr="0025165E" w:rsidRDefault="00EF665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EF6650" w:rsidRDefault="00EF665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EF6650" w:rsidRPr="0025165E" w:rsidRDefault="00EF6650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7268F5">
        <w:rPr>
          <w:rFonts w:ascii="ITC Stone Sans Std Medium" w:hAnsi="ITC Stone Sans Std Medium" w:cs="Arial"/>
          <w:noProof/>
          <w:color w:val="000000"/>
          <w:sz w:val="16"/>
          <w:szCs w:val="16"/>
        </w:rPr>
        <w:t>754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7268F5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EF6650" w:rsidRPr="006D7BE6" w:rsidRDefault="00EF6650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F6650" w:rsidRPr="006D7BE6" w:rsidRDefault="00EF6650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EF6650" w:rsidRPr="006D7BE6" w:rsidRDefault="00EF6650" w:rsidP="00C76591">
      <w:pPr>
        <w:pStyle w:val="Default"/>
        <w:jc w:val="both"/>
        <w:rPr>
          <w:rFonts w:ascii="ITC Stone Sans Std Medium" w:hAnsi="ITC Stone Sans Std Medium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7268F5">
        <w:rPr>
          <w:rFonts w:ascii="ITC Stone Sans Std Medium" w:hAnsi="ITC Stone Sans Std Medium"/>
          <w:b/>
          <w:bCs/>
          <w:noProof/>
          <w:sz w:val="22"/>
          <w:szCs w:val="22"/>
        </w:rPr>
        <w:t>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7268F5">
        <w:rPr>
          <w:rFonts w:ascii="ITC Stone Sans Std Medium" w:hAnsi="ITC Stone Sans Std Medium"/>
          <w:b/>
          <w:bCs/>
          <w:noProof/>
          <w:sz w:val="22"/>
          <w:szCs w:val="22"/>
        </w:rPr>
        <w:t>754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7268F5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7268F5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7268F5">
        <w:rPr>
          <w:rFonts w:ascii="ITC Stone Sans Std Medium" w:hAnsi="ITC Stone Sans Std Medium"/>
          <w:b/>
          <w:noProof/>
          <w:sz w:val="22"/>
          <w:szCs w:val="22"/>
        </w:rPr>
        <w:t>ALTERA A LEI Nº 10.742, DE 6 DE OUTUBRO DE 2003, QUE DEFINE NORMAS DE REGULAÇÃO PARA O SETOR FARMACÊUTICO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</w:t>
      </w:r>
      <w:r w:rsidRPr="006D7BE6">
        <w:rPr>
          <w:rFonts w:ascii="ITC Stone Sans Std Medium" w:hAnsi="ITC Stone Sans Std Medium"/>
          <w:b/>
          <w:noProof/>
          <w:sz w:val="22"/>
          <w:szCs w:val="22"/>
        </w:rPr>
        <w:t xml:space="preserve">ORDINÁRIA DA 55ª LEGISLATURA, REALIZADA NO </w:t>
      </w:r>
      <w:r w:rsidRPr="00C76591">
        <w:rPr>
          <w:rFonts w:ascii="ITC Stone Sans Std Medium" w:hAnsi="ITC Stone Sans Std Medium"/>
          <w:b/>
          <w:noProof/>
          <w:sz w:val="22"/>
          <w:szCs w:val="22"/>
        </w:rPr>
        <w:t>SENADO FEDERAL, NO DIA 19 DE ABRIL DE 2017.</w:t>
      </w:r>
    </w:p>
    <w:p w:rsidR="00EF6650" w:rsidRPr="006D7BE6" w:rsidRDefault="00EF6650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2B25B0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2B25B0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dezenove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Valdir Raupp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754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C76591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530B9A">
        <w:rPr>
          <w:rFonts w:ascii="ITC Stone Sans Std Medium" w:hAnsi="ITC Stone Sans Std Medium" w:cs="Arial"/>
          <w:sz w:val="22"/>
          <w:szCs w:val="22"/>
        </w:rPr>
        <w:t xml:space="preserve">Waldemir </w:t>
      </w:r>
      <w:proofErr w:type="spellStart"/>
      <w:r w:rsidR="00530B9A">
        <w:rPr>
          <w:rFonts w:ascii="ITC Stone Sans Std Medium" w:hAnsi="ITC Stone Sans Std Medium" w:cs="Arial"/>
          <w:sz w:val="22"/>
          <w:szCs w:val="22"/>
        </w:rPr>
        <w:t>Moka</w:t>
      </w:r>
      <w:proofErr w:type="spellEnd"/>
      <w:r w:rsidR="00530B9A">
        <w:rPr>
          <w:rFonts w:ascii="ITC Stone Sans Std Medium" w:hAnsi="ITC Stone Sans Std Medium" w:cs="Arial"/>
          <w:sz w:val="22"/>
          <w:szCs w:val="22"/>
        </w:rPr>
        <w:t>, Eduardo Amorim e Ronaldo Caiado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530B9A">
        <w:rPr>
          <w:rFonts w:ascii="ITC Stone Sans Std Medium" w:hAnsi="ITC Stone Sans Std Medium" w:cs="Arial"/>
          <w:sz w:val="22"/>
          <w:szCs w:val="22"/>
        </w:rPr>
        <w:t xml:space="preserve">Zeca Cavalcanti, Toninho Pinheiro, Pedro Fernandes, Celso Jacob, Assis Carvalho, Wellington Roberto, José Rocha, </w:t>
      </w:r>
      <w:proofErr w:type="spellStart"/>
      <w:r w:rsidR="00530B9A">
        <w:rPr>
          <w:rFonts w:ascii="ITC Stone Sans Std Medium" w:hAnsi="ITC Stone Sans Std Medium" w:cs="Arial"/>
          <w:sz w:val="22"/>
          <w:szCs w:val="22"/>
        </w:rPr>
        <w:t>Mandetta</w:t>
      </w:r>
      <w:proofErr w:type="spellEnd"/>
      <w:r w:rsidR="00530B9A">
        <w:rPr>
          <w:rFonts w:ascii="ITC Stone Sans Std Medium" w:hAnsi="ITC Stone Sans Std Medium" w:cs="Arial"/>
          <w:sz w:val="22"/>
          <w:szCs w:val="22"/>
        </w:rPr>
        <w:t xml:space="preserve"> e Marcus Pestana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 não membro da Comissão, o</w:t>
      </w:r>
      <w:r w:rsidR="00530B9A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530B9A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30B9A">
        <w:rPr>
          <w:rFonts w:ascii="ITC Stone Sans Std Medium" w:hAnsi="ITC Stone Sans Std Medium" w:cs="Arial"/>
          <w:sz w:val="22"/>
          <w:szCs w:val="22"/>
        </w:rPr>
        <w:t>Afonso Florence e André Moura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sz w:val="22"/>
          <w:szCs w:val="22"/>
        </w:rPr>
        <w:t xml:space="preserve">Havendo número regimental, a Presidência declara aberta a presente Reunião e </w:t>
      </w:r>
      <w:r w:rsidR="000C481B">
        <w:rPr>
          <w:rFonts w:ascii="ITC Stone Sans Std Medium" w:hAnsi="ITC Stone Sans Std Medium" w:cs="Arial"/>
          <w:sz w:val="22"/>
          <w:szCs w:val="22"/>
        </w:rPr>
        <w:t xml:space="preserve">convida para compor a mesa os seguintes participantes: </w:t>
      </w:r>
      <w:r w:rsidR="004474E6" w:rsidRPr="004474E6">
        <w:rPr>
          <w:rFonts w:ascii="ITC Stone Sans Std Medium" w:hAnsi="ITC Stone Sans Std Medium" w:cs="Arial"/>
          <w:sz w:val="22"/>
          <w:szCs w:val="22"/>
        </w:rPr>
        <w:t xml:space="preserve">Oswaldo José Barbosa Silva – Subprocurador-Geral da República; Leandro Pinheiro </w:t>
      </w:r>
      <w:proofErr w:type="spellStart"/>
      <w:r w:rsidR="004474E6" w:rsidRPr="004474E6">
        <w:rPr>
          <w:rFonts w:ascii="ITC Stone Sans Std Medium" w:hAnsi="ITC Stone Sans Std Medium" w:cs="Arial"/>
          <w:sz w:val="22"/>
          <w:szCs w:val="22"/>
        </w:rPr>
        <w:t>Safatle</w:t>
      </w:r>
      <w:proofErr w:type="spellEnd"/>
      <w:r w:rsidR="004474E6" w:rsidRPr="004474E6">
        <w:rPr>
          <w:rFonts w:ascii="ITC Stone Sans Std Medium" w:hAnsi="ITC Stone Sans Std Medium" w:cs="Arial"/>
          <w:sz w:val="22"/>
          <w:szCs w:val="22"/>
        </w:rPr>
        <w:t xml:space="preserve"> - Secretário </w:t>
      </w:r>
      <w:r w:rsidR="004474E6" w:rsidRPr="00A02178">
        <w:rPr>
          <w:rFonts w:ascii="ITC Stone Sans Std Medium" w:hAnsi="ITC Stone Sans Std Medium" w:cs="Arial"/>
          <w:sz w:val="22"/>
          <w:szCs w:val="22"/>
        </w:rPr>
        <w:t xml:space="preserve">Executivo da Câmara de Regulação do Mercado de Medicamentos - CMED; Reinaldo Guimarães - </w:t>
      </w:r>
      <w:r w:rsidR="004474E6" w:rsidRPr="00B44658">
        <w:rPr>
          <w:rFonts w:ascii="ITC Stone Sans Std Medium" w:hAnsi="ITC Stone Sans Std Medium" w:cs="Arial"/>
          <w:sz w:val="22"/>
          <w:szCs w:val="22"/>
        </w:rPr>
        <w:t xml:space="preserve">Vice-Presidente da Associação Brasileira das Indústrias de Química Fina, Biotecnologia e suas Especialidades - ABIFINA; Márcio Raposo de Almeida – Representante do Grupo </w:t>
      </w:r>
      <w:proofErr w:type="spellStart"/>
      <w:r w:rsidR="004474E6" w:rsidRPr="00B44658">
        <w:rPr>
          <w:rFonts w:ascii="ITC Stone Sans Std Medium" w:hAnsi="ITC Stone Sans Std Medium" w:cs="Arial"/>
          <w:sz w:val="22"/>
          <w:szCs w:val="22"/>
        </w:rPr>
        <w:t>FarmaBrasil</w:t>
      </w:r>
      <w:proofErr w:type="spellEnd"/>
      <w:r w:rsidR="004474E6" w:rsidRPr="00B44658">
        <w:rPr>
          <w:rFonts w:ascii="ITC Stone Sans Std Medium" w:hAnsi="ITC Stone Sans Std Medium" w:cs="Arial"/>
          <w:sz w:val="22"/>
          <w:szCs w:val="22"/>
        </w:rPr>
        <w:t xml:space="preserve">; Claudia </w:t>
      </w:r>
      <w:proofErr w:type="spellStart"/>
      <w:r w:rsidR="004474E6" w:rsidRPr="00B44658">
        <w:rPr>
          <w:rFonts w:ascii="ITC Stone Sans Std Medium" w:hAnsi="ITC Stone Sans Std Medium" w:cs="Arial"/>
          <w:sz w:val="22"/>
          <w:szCs w:val="22"/>
        </w:rPr>
        <w:t>Scarpim</w:t>
      </w:r>
      <w:proofErr w:type="spellEnd"/>
      <w:r w:rsidR="004474E6" w:rsidRPr="00B44658">
        <w:rPr>
          <w:rFonts w:ascii="ITC Stone Sans Std Medium" w:hAnsi="ITC Stone Sans Std Medium" w:cs="Arial"/>
          <w:sz w:val="22"/>
          <w:szCs w:val="22"/>
        </w:rPr>
        <w:t xml:space="preserve"> - Diretora Executiva de Relações Institucionais da Associação Brasileira da Indústria de Alta Tecnologia de Produtos para a Saúde - </w:t>
      </w:r>
      <w:proofErr w:type="spellStart"/>
      <w:r w:rsidR="004474E6" w:rsidRPr="00B44658">
        <w:rPr>
          <w:rFonts w:ascii="ITC Stone Sans Std Medium" w:hAnsi="ITC Stone Sans Std Medium" w:cs="Arial"/>
          <w:sz w:val="22"/>
          <w:szCs w:val="22"/>
        </w:rPr>
        <w:t>Abimed</w:t>
      </w:r>
      <w:proofErr w:type="spellEnd"/>
      <w:r w:rsidR="004474E6" w:rsidRPr="00B44658">
        <w:rPr>
          <w:rFonts w:ascii="ITC Stone Sans Std Medium" w:hAnsi="ITC Stone Sans Std Medium" w:cs="Arial"/>
          <w:sz w:val="22"/>
          <w:szCs w:val="22"/>
        </w:rPr>
        <w:t xml:space="preserve">; Carlos Eduardo Paula Leite Gouvêa - Presidente da Aliança Brasileira da Indústria Inovadora em </w:t>
      </w:r>
      <w:r w:rsidR="004474E6" w:rsidRPr="00530B9A">
        <w:rPr>
          <w:rFonts w:ascii="ITC Stone Sans Std Medium" w:hAnsi="ITC Stone Sans Std Medium" w:cs="Arial"/>
          <w:sz w:val="22"/>
          <w:szCs w:val="22"/>
        </w:rPr>
        <w:t xml:space="preserve">Saúde – ABIIS; e </w:t>
      </w:r>
      <w:proofErr w:type="spellStart"/>
      <w:r w:rsidR="004474E6" w:rsidRPr="00530B9A">
        <w:rPr>
          <w:rFonts w:ascii="ITC Stone Sans Std Medium" w:hAnsi="ITC Stone Sans Std Medium" w:cs="Arial"/>
          <w:sz w:val="22"/>
          <w:szCs w:val="22"/>
        </w:rPr>
        <w:t>Eilika</w:t>
      </w:r>
      <w:proofErr w:type="spellEnd"/>
      <w:r w:rsidR="004474E6" w:rsidRPr="00530B9A">
        <w:rPr>
          <w:rFonts w:ascii="ITC Stone Sans Std Medium" w:hAnsi="ITC Stone Sans Std Medium" w:cs="Arial"/>
          <w:sz w:val="22"/>
          <w:szCs w:val="22"/>
        </w:rPr>
        <w:t xml:space="preserve"> Feitosa - Professora Doutora da Universidade Federal do Piauí.</w:t>
      </w:r>
      <w:r w:rsidR="00C76591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B27AFC" w:rsidRPr="00B27AFC">
        <w:rPr>
          <w:rFonts w:ascii="ITC Stone Sans Std Medium" w:hAnsi="ITC Stone Sans Std Medium" w:cs="Arial"/>
          <w:sz w:val="22"/>
          <w:szCs w:val="22"/>
        </w:rPr>
        <w:t>A Presidência passa a palavra ao Relator, Deputado Wellington Roberto, para suas considerações.</w:t>
      </w:r>
      <w:r w:rsidR="000E118E">
        <w:rPr>
          <w:rFonts w:ascii="ITC Stone Sans Std Medium" w:hAnsi="ITC Stone Sans Std Medium" w:cs="Arial"/>
          <w:sz w:val="22"/>
          <w:szCs w:val="22"/>
        </w:rPr>
        <w:t xml:space="preserve"> Às dez horas e oito minutos assume a Presidência o Relator </w:t>
      </w:r>
      <w:bookmarkStart w:id="0" w:name="_GoBack"/>
      <w:bookmarkEnd w:id="0"/>
      <w:r w:rsidR="000E118E">
        <w:rPr>
          <w:rFonts w:ascii="ITC Stone Sans Std Medium" w:hAnsi="ITC Stone Sans Std Medium" w:cs="Arial"/>
          <w:sz w:val="22"/>
          <w:szCs w:val="22"/>
        </w:rPr>
        <w:t xml:space="preserve">da Comissão Mista, </w:t>
      </w:r>
      <w:r w:rsidR="000E118E" w:rsidRPr="00B27AFC">
        <w:rPr>
          <w:rFonts w:ascii="ITC Stone Sans Std Medium" w:hAnsi="ITC Stone Sans Std Medium" w:cs="Arial"/>
          <w:sz w:val="22"/>
          <w:szCs w:val="22"/>
        </w:rPr>
        <w:t>Deputado Wellington Roberto</w:t>
      </w:r>
      <w:r w:rsidR="0079417E">
        <w:rPr>
          <w:rFonts w:ascii="ITC Stone Sans Std Medium" w:hAnsi="ITC Stone Sans Std Medium" w:cs="Arial"/>
          <w:sz w:val="22"/>
          <w:szCs w:val="22"/>
        </w:rPr>
        <w:t>.</w:t>
      </w:r>
      <w:r w:rsidR="00C76591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</w:t>
      </w:r>
      <w:r w:rsidR="00137568">
        <w:rPr>
          <w:rFonts w:ascii="ITC Stone Sans Std Medium" w:hAnsi="ITC Stone Sans Std Medium" w:cs="Arial"/>
          <w:color w:val="000000"/>
          <w:sz w:val="22"/>
          <w:szCs w:val="22"/>
        </w:rPr>
        <w:t>Deputado</w:t>
      </w:r>
      <w:r w:rsidR="00543906">
        <w:rPr>
          <w:rFonts w:ascii="ITC Stone Sans Std Medium" w:hAnsi="ITC Stone Sans Std Medium" w:cs="Arial"/>
          <w:color w:val="000000"/>
          <w:sz w:val="22"/>
          <w:szCs w:val="22"/>
        </w:rPr>
        <w:t>s</w:t>
      </w:r>
      <w:r w:rsidR="00975DCD">
        <w:rPr>
          <w:rFonts w:ascii="ITC Stone Sans Std Medium" w:hAnsi="ITC Stone Sans Std Medium" w:cs="Arial"/>
          <w:color w:val="000000"/>
          <w:sz w:val="22"/>
          <w:szCs w:val="22"/>
        </w:rPr>
        <w:t>:</w:t>
      </w:r>
      <w:r w:rsidR="00137568">
        <w:rPr>
          <w:rFonts w:ascii="ITC Stone Sans Std Medium" w:hAnsi="ITC Stone Sans Std Medium" w:cs="Arial"/>
          <w:color w:val="000000"/>
          <w:sz w:val="22"/>
          <w:szCs w:val="22"/>
        </w:rPr>
        <w:t xml:space="preserve"> Toninho Pinheiro, </w:t>
      </w:r>
      <w:r w:rsidR="0099544A">
        <w:rPr>
          <w:rFonts w:ascii="ITC Stone Sans Std Medium" w:hAnsi="ITC Stone Sans Std Medium" w:cs="Arial"/>
          <w:color w:val="000000"/>
          <w:sz w:val="22"/>
          <w:szCs w:val="22"/>
        </w:rPr>
        <w:t>Pedro Fernandes</w:t>
      </w:r>
      <w:r w:rsidR="0079417E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proofErr w:type="spellStart"/>
      <w:r w:rsidR="0079417E">
        <w:rPr>
          <w:rFonts w:ascii="ITC Stone Sans Std Medium" w:hAnsi="ITC Stone Sans Std Medium" w:cs="Arial"/>
          <w:sz w:val="22"/>
          <w:szCs w:val="22"/>
        </w:rPr>
        <w:t>Mandetta</w:t>
      </w:r>
      <w:proofErr w:type="spellEnd"/>
      <w:r w:rsidR="0079417E">
        <w:rPr>
          <w:rFonts w:ascii="ITC Stone Sans Std Medium" w:hAnsi="ITC Stone Sans Std Medium" w:cs="Arial"/>
          <w:sz w:val="22"/>
          <w:szCs w:val="22"/>
        </w:rPr>
        <w:t>, Marcus Pestana</w:t>
      </w:r>
      <w:r w:rsidR="00543906">
        <w:rPr>
          <w:rFonts w:ascii="ITC Stone Sans Std Medium" w:hAnsi="ITC Stone Sans Std Medium" w:cs="Arial"/>
          <w:sz w:val="22"/>
          <w:szCs w:val="22"/>
        </w:rPr>
        <w:t>, Assis Carvalho</w:t>
      </w:r>
      <w:r w:rsidR="0079417E">
        <w:rPr>
          <w:rFonts w:ascii="ITC Stone Sans Std Medium" w:hAnsi="ITC Stone Sans Std Medium" w:cs="Arial"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A917B6">
        <w:rPr>
          <w:rFonts w:ascii="ITC Stone Sans Std Medium" w:hAnsi="ITC Stone Sans Std Medium" w:cs="Arial"/>
          <w:sz w:val="22"/>
          <w:szCs w:val="22"/>
        </w:rPr>
        <w:t>onze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A917B6">
        <w:rPr>
          <w:rFonts w:ascii="ITC Stone Sans Std Medium" w:hAnsi="ITC Stone Sans Std Medium" w:cs="Arial"/>
          <w:sz w:val="22"/>
          <w:szCs w:val="22"/>
        </w:rPr>
        <w:t>cinquenta</w:t>
      </w:r>
      <w:r w:rsidR="00975DCD">
        <w:rPr>
          <w:rFonts w:ascii="ITC Stone Sans Std Medium" w:hAnsi="ITC Stone Sans Std Medium" w:cs="Arial"/>
          <w:sz w:val="22"/>
          <w:szCs w:val="22"/>
        </w:rPr>
        <w:t xml:space="preserve"> e quatro minutos</w:t>
      </w:r>
      <w:r w:rsidRPr="006D7BE6">
        <w:rPr>
          <w:rFonts w:ascii="ITC Stone Sans Std Medium" w:hAnsi="ITC Stone Sans Std Medium" w:cs="Arial"/>
          <w:sz w:val="22"/>
          <w:szCs w:val="22"/>
        </w:rPr>
        <w:t>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C2197C">
        <w:rPr>
          <w:rFonts w:ascii="ITC Stone Sans Std Medium" w:hAnsi="ITC Stone Sans Std Medium" w:cs="Arial"/>
          <w:bCs/>
          <w:sz w:val="22"/>
          <w:szCs w:val="22"/>
        </w:rPr>
        <w:t>Clarissa Kiwa Scarton Hayashi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7268F5">
        <w:rPr>
          <w:rFonts w:ascii="ITC Stone Sans Std Medium" w:hAnsi="ITC Stone Sans Std Medium" w:cs="Arial"/>
          <w:noProof/>
          <w:sz w:val="22"/>
          <w:szCs w:val="22"/>
        </w:rPr>
        <w:t>Valdir Raupp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0C481B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C76591">
        <w:rPr>
          <w:rFonts w:ascii="ITC Stone Sans Std Medium" w:hAnsi="ITC Stone Sans Std Medium" w:cs="Arial"/>
          <w:bCs/>
          <w:sz w:val="22"/>
          <w:szCs w:val="22"/>
        </w:rPr>
        <w:t xml:space="preserve">A íntegra do debate pode ser assistida através do link </w:t>
      </w:r>
      <w:r w:rsidR="000C481B" w:rsidRPr="00C76591">
        <w:rPr>
          <w:rFonts w:ascii="ITC Stone Sans Std Medium" w:hAnsi="ITC Stone Sans Std Medium" w:cs="Arial"/>
          <w:bCs/>
          <w:sz w:val="22"/>
          <w:szCs w:val="22"/>
        </w:rPr>
        <w:t>https://www.youtube.com/watch?v=BSM-iNbQSA0</w:t>
      </w:r>
      <w:r w:rsidRPr="00C76591">
        <w:rPr>
          <w:rFonts w:ascii="ITC Stone Sans Std Medium" w:hAnsi="ITC Stone Sans Std Medium" w:cs="Arial"/>
          <w:bCs/>
          <w:sz w:val="22"/>
          <w:szCs w:val="22"/>
        </w:rPr>
        <w:t>.</w:t>
      </w:r>
    </w:p>
    <w:p w:rsidR="00EF6650" w:rsidRPr="006D7BE6" w:rsidRDefault="00EF6650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F6650" w:rsidRPr="006D7BE6" w:rsidRDefault="00EF6650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F6650" w:rsidRPr="006D7BE6" w:rsidRDefault="00EF665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EF6650" w:rsidRPr="006D7BE6" w:rsidRDefault="00EF665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7268F5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7268F5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VALDIR RAUPP</w:t>
      </w:r>
    </w:p>
    <w:p w:rsidR="00EF6650" w:rsidRDefault="00EF665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EF6650" w:rsidSect="00EF6650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EF6650" w:rsidRDefault="00EF665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37568" w:rsidRDefault="0013756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137568" w:rsidRDefault="00137568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137568" w:rsidSect="00EF6650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C481B"/>
    <w:rsid w:val="000E118E"/>
    <w:rsid w:val="000E6394"/>
    <w:rsid w:val="000E7691"/>
    <w:rsid w:val="00100AF4"/>
    <w:rsid w:val="00120302"/>
    <w:rsid w:val="00123615"/>
    <w:rsid w:val="0013052C"/>
    <w:rsid w:val="00134B16"/>
    <w:rsid w:val="00137568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220B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5B0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4E6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0B9A"/>
    <w:rsid w:val="0053601B"/>
    <w:rsid w:val="00543906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284B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417E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75DCD"/>
    <w:rsid w:val="00983671"/>
    <w:rsid w:val="0099544A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7ECE"/>
    <w:rsid w:val="00A02178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17B6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1F47"/>
    <w:rsid w:val="00B2448E"/>
    <w:rsid w:val="00B27AFC"/>
    <w:rsid w:val="00B344C6"/>
    <w:rsid w:val="00B35F63"/>
    <w:rsid w:val="00B375EA"/>
    <w:rsid w:val="00B44658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2197C"/>
    <w:rsid w:val="00C55AAE"/>
    <w:rsid w:val="00C61F0E"/>
    <w:rsid w:val="00C6584C"/>
    <w:rsid w:val="00C71381"/>
    <w:rsid w:val="00C7659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D5C"/>
    <w:rsid w:val="00EA0601"/>
    <w:rsid w:val="00EA5454"/>
    <w:rsid w:val="00EB6470"/>
    <w:rsid w:val="00ED1CD0"/>
    <w:rsid w:val="00ED7402"/>
    <w:rsid w:val="00EF3F50"/>
    <w:rsid w:val="00EF66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FFBA0-82F9-48C0-98F9-B8E80888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paragraph" w:customStyle="1" w:styleId="CM1">
    <w:name w:val="CM1"/>
    <w:basedOn w:val="Default"/>
    <w:next w:val="Default"/>
    <w:uiPriority w:val="99"/>
    <w:rsid w:val="000C481B"/>
    <w:pPr>
      <w:widowControl w:val="0"/>
      <w:spacing w:line="276" w:lineRule="atLeast"/>
    </w:pPr>
    <w:rPr>
      <w:rFonts w:eastAsiaTheme="minorEastAsia"/>
      <w:color w:val="auto"/>
    </w:rPr>
  </w:style>
  <w:style w:type="paragraph" w:customStyle="1" w:styleId="CM4">
    <w:name w:val="CM4"/>
    <w:basedOn w:val="Default"/>
    <w:next w:val="Default"/>
    <w:uiPriority w:val="99"/>
    <w:rsid w:val="000C481B"/>
    <w:pPr>
      <w:widowControl w:val="0"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3122D3-648C-480B-9046-A878CAFC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18</cp:revision>
  <cp:lastPrinted>2017-04-19T12:13:00Z</cp:lastPrinted>
  <dcterms:created xsi:type="dcterms:W3CDTF">2017-04-17T12:04:00Z</dcterms:created>
  <dcterms:modified xsi:type="dcterms:W3CDTF">2017-04-24T18:28:00Z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