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0E613" w14:textId="70187764" w:rsidR="0016074B" w:rsidRDefault="00377055" w:rsidP="00377055">
      <w:pPr>
        <w:pStyle w:val="Ttulo1"/>
        <w:jc w:val="center"/>
      </w:pPr>
      <w:r>
        <w:t>Relatório ainda não apresentado pelo autor</w:t>
      </w:r>
    </w:p>
    <w:sectPr w:rsidR="001607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55"/>
    <w:rsid w:val="0016074B"/>
    <w:rsid w:val="0037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5FD09"/>
  <w15:chartTrackingRefBased/>
  <w15:docId w15:val="{F157D7F1-F914-4A9E-BC2E-5CDB693B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770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77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Company>Senado Federal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Airton Luciano Aragão Júnior</dc:creator>
  <cp:keywords/>
  <dc:description/>
  <cp:lastModifiedBy>Airton Luciano Aragão Júnior</cp:lastModifiedBy>
  <cp:revision>1</cp:revision>
  <cp:lastPrinted>2024-11-19T21:58:00Z</cp:lastPrinted>
  <dcterms:created xsi:type="dcterms:W3CDTF">2024-11-19T21:58:00Z</dcterms:created>
  <dcterms:modified xsi:type="dcterms:W3CDTF">2024-11-19T21:59:00Z</dcterms:modified>
</cp:coreProperties>
</file>