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DBAF" w14:textId="0AE41DCB" w:rsidR="00260C3F" w:rsidRDefault="00391CEC" w:rsidP="00260C3F">
      <w:pPr>
        <w:pStyle w:val="Ttulo"/>
      </w:pPr>
      <w:r>
        <w:t>Remarks by Matthew Reisman to the Internal Temporary Committee on Artificial Intelligence in Brazil</w:t>
      </w:r>
    </w:p>
    <w:p w14:paraId="67B0A047" w14:textId="19A7732B" w:rsidR="00625AD7" w:rsidRDefault="00391CEC" w:rsidP="00260C3F">
      <w:pPr>
        <w:pStyle w:val="Subttulo"/>
      </w:pPr>
      <w:r>
        <w:t>As Prepared for Delivery</w:t>
      </w:r>
    </w:p>
    <w:p w14:paraId="3B0EB3FF" w14:textId="77777777" w:rsidR="00391CEC" w:rsidRDefault="00391CEC" w:rsidP="00391CEC">
      <w:pPr>
        <w:rPr>
          <w:lang w:val="pt-BR"/>
        </w:rPr>
      </w:pPr>
      <w:r w:rsidRPr="00391CEC">
        <w:rPr>
          <w:lang w:val="pt-BR"/>
        </w:rPr>
        <w:t>Presidente em exercício Senador Pontes, Distintos Membros da Comissão, Boa tarde. Meu nome é Matthew Reisman e sou Diretor de Privacidade e Política de Dados do Centro de Liderança de Políticas de Informação. Gostaria de agradecer ao senador astronauta Pontes e ao Comitê por me convidarem para testemunhar hoje. Obrigado também por me permitir testemunhar em inglês. Vou continuar nessa língua.</w:t>
      </w:r>
    </w:p>
    <w:p w14:paraId="201D1E95" w14:textId="13F531EE" w:rsidR="00391CEC" w:rsidRPr="00391CEC" w:rsidRDefault="00391CEC" w:rsidP="00391CEC">
      <w:pPr>
        <w:rPr>
          <w:lang w:val="en-US"/>
        </w:rPr>
      </w:pPr>
      <w:r w:rsidRPr="00391CEC">
        <w:rPr>
          <w:lang w:val="en-US"/>
        </w:rPr>
        <w:t>[Acting Chairman Senator Pontes, distinguished members of the Committee, good afternoon. My name is Matthew Reisman, and I am the Director of Privacy and Data Policy at the Center for Information Policy Leadership. I would like to thank Senator Pontes and the Committee for inviting me to testify today. Thank you also for allowing me to testify in English. I will continue to do so in that language.</w:t>
      </w:r>
      <w:r w:rsidRPr="00391CEC">
        <w:rPr>
          <w:lang w:val="pt-BR"/>
        </w:rPr>
        <w:t>]</w:t>
      </w:r>
    </w:p>
    <w:p w14:paraId="425C0966" w14:textId="77777777" w:rsidR="00391CEC" w:rsidRPr="00216ADE" w:rsidRDefault="00391CEC" w:rsidP="00391CEC">
      <w:pPr>
        <w:rPr>
          <w:lang w:val="en-US"/>
        </w:rPr>
      </w:pPr>
      <w:r w:rsidRPr="00216ADE">
        <w:rPr>
          <w:lang w:val="en-US"/>
        </w:rPr>
        <w:t xml:space="preserve">CIPL is a global privacy and data policy think tank with offices in London, Brussels, and Washington, DC. We work with policymakers, regulators, industry, academia, and civil society to advance responsible and beneficial use of data. </w:t>
      </w:r>
    </w:p>
    <w:p w14:paraId="5FE15D07" w14:textId="77777777" w:rsidR="00391CEC" w:rsidRPr="00216ADE" w:rsidRDefault="00391CEC" w:rsidP="00391CEC">
      <w:r w:rsidRPr="00216ADE">
        <w:t xml:space="preserve">Artificial Intelligence has been a focus of CIPL’s work since 2018, when we published a study on “AI and Data Protection in Tension.” Since that time, we have researched and engaged with stakeholders on AI policy around the world, including Brazil. </w:t>
      </w:r>
    </w:p>
    <w:p w14:paraId="63BAC09D" w14:textId="77777777" w:rsidR="00391CEC" w:rsidRPr="00216ADE" w:rsidRDefault="00391CEC" w:rsidP="00391CEC">
      <w:r w:rsidRPr="00216ADE">
        <w:t>Today, my remarks will draw upon CIPL’s Ten Recommendations for Global AI Regulation, our study benchmarking organizations’ AI governance to the CIPL Accountability Framework, and our ongoing experience working on EU AI Act implementation.</w:t>
      </w:r>
    </w:p>
    <w:p w14:paraId="0E7C3688" w14:textId="77777777" w:rsidR="00391CEC" w:rsidRDefault="00391CEC" w:rsidP="00391CEC">
      <w:r w:rsidRPr="00216ADE">
        <w:t xml:space="preserve">CIPL’s report on </w:t>
      </w:r>
      <w:r w:rsidRPr="00216ADE">
        <w:rPr>
          <w:b/>
          <w:bCs/>
        </w:rPr>
        <w:t>Building Accountable AI Programs</w:t>
      </w:r>
      <w:r w:rsidRPr="00216ADE">
        <w:t>, published in February, documents best practices among 20 leading developers and deployers of AI and classifies them among the seven elements of CIPL’s Accountability Framework.</w:t>
      </w:r>
    </w:p>
    <w:p w14:paraId="4E44BDAC" w14:textId="77777777" w:rsidR="00391CEC" w:rsidRPr="00216ADE" w:rsidRDefault="00391CEC" w:rsidP="00391CEC">
      <w:r w:rsidRPr="00216ADE">
        <w:t>CIPL’s Accountability Framework contains seven core elements of accountability: leadership and oversight; risk assessment; policies and procedures; transparency; training and awareness; monitoring and verification; and response and enforcement. This framework has been used by global businesses as a model for building comprehensive privacy and data governance programs, and our research captured ways that responsible developers and developers of AI are building comprehensive governance programs consistent with the Framework.</w:t>
      </w:r>
    </w:p>
    <w:p w14:paraId="3E2D4727" w14:textId="77777777" w:rsidR="00391CEC" w:rsidRPr="00216ADE" w:rsidRDefault="00391CEC" w:rsidP="00391CEC">
      <w:r w:rsidRPr="00216ADE">
        <w:t xml:space="preserve">We found that, irrespective of regulations, many </w:t>
      </w:r>
      <w:r w:rsidRPr="00216ADE">
        <w:rPr>
          <w:b/>
          <w:bCs/>
        </w:rPr>
        <w:t xml:space="preserve">organizations view accountable governance of AI as a smart business investment. </w:t>
      </w:r>
      <w:r w:rsidRPr="00216ADE">
        <w:t xml:space="preserve">While setting up AI governance programs requires time and resources, many organizations recognize doing so as worthwhile. </w:t>
      </w:r>
    </w:p>
    <w:p w14:paraId="6A0F6A93" w14:textId="77777777" w:rsidR="00391CEC" w:rsidRPr="00216ADE" w:rsidRDefault="00391CEC" w:rsidP="00391CEC">
      <w:r w:rsidRPr="00216ADE">
        <w:t xml:space="preserve">Smart AI regulation can foster adoption of accountable practices like those documented in our report. </w:t>
      </w:r>
    </w:p>
    <w:p w14:paraId="6C786736" w14:textId="77777777" w:rsidR="00391CEC" w:rsidRPr="00216ADE" w:rsidRDefault="00391CEC" w:rsidP="00391CEC">
      <w:r w:rsidRPr="00216ADE">
        <w:t>In October 2023, we published our “</w:t>
      </w:r>
      <w:r>
        <w:t>T</w:t>
      </w:r>
      <w:r w:rsidRPr="00216ADE">
        <w:t xml:space="preserve">en </w:t>
      </w:r>
      <w:r>
        <w:t>R</w:t>
      </w:r>
      <w:r w:rsidRPr="00216ADE">
        <w:t xml:space="preserve">ecommendations for Global AI </w:t>
      </w:r>
      <w:r>
        <w:t>R</w:t>
      </w:r>
      <w:r w:rsidRPr="00216ADE">
        <w:t>egulation.” You can download them in Portuguese from our website.</w:t>
      </w:r>
    </w:p>
    <w:p w14:paraId="621C6C57" w14:textId="77777777" w:rsidR="00391CEC" w:rsidRPr="00216ADE" w:rsidRDefault="00391CEC" w:rsidP="00391CEC">
      <w:r w:rsidRPr="00216ADE">
        <w:t>Our report offers recommendations across three segments of public policy</w:t>
      </w:r>
      <w:r>
        <w:t>:</w:t>
      </w:r>
    </w:p>
    <w:p w14:paraId="77752AD5" w14:textId="77777777" w:rsidR="00391CEC" w:rsidRPr="00216ADE" w:rsidRDefault="00391CEC" w:rsidP="00391CEC">
      <w:pPr>
        <w:pStyle w:val="PargrafodaLista"/>
        <w:numPr>
          <w:ilvl w:val="0"/>
          <w:numId w:val="10"/>
        </w:numPr>
        <w:jc w:val="left"/>
      </w:pPr>
      <w:r w:rsidRPr="00216ADE">
        <w:lastRenderedPageBreak/>
        <w:t xml:space="preserve">At the core are </w:t>
      </w:r>
      <w:r w:rsidRPr="004A21DC">
        <w:rPr>
          <w:b/>
          <w:bCs/>
        </w:rPr>
        <w:t>principle and outcome-based rules</w:t>
      </w:r>
      <w:r w:rsidRPr="00216ADE">
        <w:t>, including a technology-neutral framework, a risk-based approach, and empowerment of individuals, building on existing legal frameworks.</w:t>
      </w:r>
    </w:p>
    <w:p w14:paraId="64F9166D" w14:textId="77777777" w:rsidR="00391CEC" w:rsidRPr="00216ADE" w:rsidRDefault="00391CEC" w:rsidP="00391CEC">
      <w:pPr>
        <w:pStyle w:val="PargrafodaLista"/>
        <w:numPr>
          <w:ilvl w:val="0"/>
          <w:numId w:val="10"/>
        </w:numPr>
        <w:jc w:val="left"/>
      </w:pPr>
      <w:r w:rsidRPr="00216ADE">
        <w:t xml:space="preserve">At the next level, </w:t>
      </w:r>
      <w:r w:rsidRPr="004A21DC">
        <w:rPr>
          <w:b/>
          <w:bCs/>
        </w:rPr>
        <w:t>demonstrable organizational accountability</w:t>
      </w:r>
      <w:r w:rsidRPr="00216ADE">
        <w:t>, with incentives for the adoption of accountable AI practices, like recognizing certifications to codes of conduct as a mitigating factor in enforcement actions.</w:t>
      </w:r>
    </w:p>
    <w:p w14:paraId="42DE46EA" w14:textId="77777777" w:rsidR="00391CEC" w:rsidRPr="00216ADE" w:rsidRDefault="00391CEC" w:rsidP="00391CEC">
      <w:pPr>
        <w:pStyle w:val="PargrafodaLista"/>
        <w:numPr>
          <w:ilvl w:val="0"/>
          <w:numId w:val="10"/>
        </w:numPr>
        <w:jc w:val="left"/>
      </w:pPr>
      <w:r w:rsidRPr="00216ADE">
        <w:t xml:space="preserve">And finally, </w:t>
      </w:r>
      <w:r w:rsidRPr="004A21DC">
        <w:rPr>
          <w:b/>
          <w:bCs/>
        </w:rPr>
        <w:t>Robust and Smart Regulatory Oversight</w:t>
      </w:r>
      <w:r w:rsidRPr="00216ADE">
        <w:t xml:space="preserve">, including a cooperative and coordinated approach. </w:t>
      </w:r>
    </w:p>
    <w:p w14:paraId="64534763" w14:textId="77777777" w:rsidR="00391CEC" w:rsidRPr="00216ADE" w:rsidRDefault="00391CEC" w:rsidP="00391CEC">
      <w:r w:rsidRPr="00216ADE">
        <w:t>It was encouraging to see many of these</w:t>
      </w:r>
      <w:r>
        <w:t xml:space="preserve"> </w:t>
      </w:r>
      <w:r w:rsidRPr="00216ADE">
        <w:t xml:space="preserve">elements present in the most recent draft of Senate Bill 2338.  </w:t>
      </w:r>
    </w:p>
    <w:p w14:paraId="69E68CA2" w14:textId="77777777" w:rsidR="00391CEC" w:rsidRPr="00216ADE" w:rsidRDefault="00391CEC" w:rsidP="00391CEC">
      <w:r w:rsidRPr="00216ADE">
        <w:t>CIPL is working closely with stakeholders in government, industry, and the third sector to foster effective implementation of the EU AI Act. It is early days for this effort, but a few lessons are already clear</w:t>
      </w:r>
      <w:r>
        <w:t>:</w:t>
      </w:r>
    </w:p>
    <w:p w14:paraId="4CAE23BA" w14:textId="77777777" w:rsidR="00391CEC" w:rsidRPr="00216ADE" w:rsidRDefault="00391CEC" w:rsidP="00391CEC">
      <w:pPr>
        <w:numPr>
          <w:ilvl w:val="0"/>
          <w:numId w:val="11"/>
        </w:numPr>
        <w:jc w:val="left"/>
      </w:pPr>
      <w:r w:rsidRPr="00216ADE">
        <w:t>Understanding</w:t>
      </w:r>
      <w:r>
        <w:t xml:space="preserve"> the law’s</w:t>
      </w:r>
      <w:r w:rsidRPr="00216ADE">
        <w:t xml:space="preserve"> legal requirements &amp; implementation practicalities</w:t>
      </w:r>
      <w:r>
        <w:t xml:space="preserve"> will</w:t>
      </w:r>
      <w:r w:rsidRPr="00216ADE">
        <w:t xml:space="preserve"> take time for </w:t>
      </w:r>
      <w:r>
        <w:t>all stakeholders.</w:t>
      </w:r>
    </w:p>
    <w:p w14:paraId="4F9D8098" w14:textId="77777777" w:rsidR="00391CEC" w:rsidRPr="00216ADE" w:rsidRDefault="00391CEC" w:rsidP="00391CEC">
      <w:pPr>
        <w:numPr>
          <w:ilvl w:val="0"/>
          <w:numId w:val="11"/>
        </w:numPr>
        <w:jc w:val="left"/>
      </w:pPr>
      <w:r w:rsidRPr="00216ADE">
        <w:t xml:space="preserve">Stakeholders will need to work together </w:t>
      </w:r>
      <w:r>
        <w:t xml:space="preserve">to </w:t>
      </w:r>
      <w:r w:rsidRPr="00216ADE">
        <w:t>resolve tensions with existing laws</w:t>
      </w:r>
      <w:r>
        <w:t>.</w:t>
      </w:r>
    </w:p>
    <w:p w14:paraId="685B21E1" w14:textId="77777777" w:rsidR="00391CEC" w:rsidRPr="00216ADE" w:rsidRDefault="00391CEC" w:rsidP="00391CEC">
      <w:pPr>
        <w:numPr>
          <w:ilvl w:val="0"/>
          <w:numId w:val="11"/>
        </w:numPr>
        <w:jc w:val="left"/>
      </w:pPr>
      <w:r>
        <w:t>There is l</w:t>
      </w:r>
      <w:r w:rsidRPr="00216ADE">
        <w:t>ots of work ahead to:</w:t>
      </w:r>
    </w:p>
    <w:p w14:paraId="0B2FACB4" w14:textId="77777777" w:rsidR="00391CEC" w:rsidRDefault="00391CEC" w:rsidP="00391CEC">
      <w:pPr>
        <w:numPr>
          <w:ilvl w:val="1"/>
          <w:numId w:val="11"/>
        </w:numPr>
        <w:jc w:val="left"/>
      </w:pPr>
      <w:r w:rsidRPr="00216ADE">
        <w:t>Create organizational accountability and governance programs consistent with the law</w:t>
      </w:r>
      <w:r>
        <w:t>.</w:t>
      </w:r>
    </w:p>
    <w:p w14:paraId="3F012173" w14:textId="77777777" w:rsidR="00391CEC" w:rsidRDefault="00391CEC" w:rsidP="00391CEC">
      <w:pPr>
        <w:numPr>
          <w:ilvl w:val="1"/>
          <w:numId w:val="11"/>
        </w:numPr>
        <w:jc w:val="left"/>
      </w:pPr>
      <w:r w:rsidRPr="00216ADE">
        <w:t>Help regulators to regulate effectively in order to secure AI’s benefits and enable innovation while mitigating harms.</w:t>
      </w:r>
    </w:p>
    <w:p w14:paraId="296D0B20" w14:textId="77777777" w:rsidR="00391CEC" w:rsidRDefault="00391CEC" w:rsidP="00391CEC">
      <w:r>
        <w:t>These experiences point to the value of creating clear rules that build on the foundation of existing law.</w:t>
      </w:r>
    </w:p>
    <w:p w14:paraId="57509600" w14:textId="77777777" w:rsidR="00391CEC" w:rsidRDefault="00391CEC" w:rsidP="00391CEC">
      <w:r>
        <w:t>We now share a few observations on the latest draft of Bill 2338:</w:t>
      </w:r>
    </w:p>
    <w:p w14:paraId="499773DD" w14:textId="77777777" w:rsidR="00391CEC" w:rsidRDefault="00391CEC" w:rsidP="00391CEC">
      <w:pPr>
        <w:pStyle w:val="PargrafodaLista"/>
        <w:numPr>
          <w:ilvl w:val="0"/>
          <w:numId w:val="12"/>
        </w:numPr>
        <w:jc w:val="left"/>
      </w:pPr>
      <w:r w:rsidRPr="00216ADE">
        <w:t>It is good to see the delineation of different tiers of risk (excessive, high risk)</w:t>
      </w:r>
      <w:r>
        <w:t>.</w:t>
      </w:r>
      <w:r w:rsidRPr="00216ADE">
        <w:t xml:space="preserve"> The </w:t>
      </w:r>
      <w:r w:rsidRPr="00216ADE">
        <w:rPr>
          <w:b/>
          <w:bCs/>
        </w:rPr>
        <w:t xml:space="preserve">categorization of activities by level of risk should be flexible </w:t>
      </w:r>
      <w:r w:rsidRPr="00216ADE">
        <w:t>and responsive to the specific circumstances of proposed deployments. The assumption that any specific activity is high risk</w:t>
      </w:r>
      <w:r>
        <w:t xml:space="preserve"> </w:t>
      </w:r>
      <w:r w:rsidRPr="00216ADE">
        <w:t>should be rebuttable, with appropriate evidence.</w:t>
      </w:r>
    </w:p>
    <w:p w14:paraId="5244B469" w14:textId="77777777" w:rsidR="00391CEC" w:rsidRPr="00216ADE" w:rsidRDefault="00391CEC" w:rsidP="00391CEC">
      <w:pPr>
        <w:pStyle w:val="PargrafodaLista"/>
      </w:pPr>
    </w:p>
    <w:p w14:paraId="30C9F2CB" w14:textId="77777777" w:rsidR="00391CEC" w:rsidRDefault="00391CEC" w:rsidP="00391CEC">
      <w:pPr>
        <w:pStyle w:val="PargrafodaLista"/>
        <w:numPr>
          <w:ilvl w:val="0"/>
          <w:numId w:val="12"/>
        </w:numPr>
        <w:jc w:val="left"/>
      </w:pPr>
      <w:r w:rsidRPr="00216ADE">
        <w:rPr>
          <w:b/>
          <w:bCs/>
        </w:rPr>
        <w:t xml:space="preserve">Enforceable </w:t>
      </w:r>
      <w:r w:rsidRPr="00216ADE">
        <w:t>co-regulatory measures like codes of good practice can be part of a results-focused approach to regulation. The bill usefully states that adherence to such codes will be treated as actions of good faith in enforcement actions.</w:t>
      </w:r>
    </w:p>
    <w:p w14:paraId="4E7416A2" w14:textId="77777777" w:rsidR="00391CEC" w:rsidRPr="00216ADE" w:rsidRDefault="00391CEC" w:rsidP="00391CEC">
      <w:pPr>
        <w:pStyle w:val="PargrafodaLista"/>
      </w:pPr>
    </w:p>
    <w:p w14:paraId="56952A3A" w14:textId="77777777" w:rsidR="00391CEC" w:rsidRDefault="00391CEC" w:rsidP="00391CEC">
      <w:pPr>
        <w:pStyle w:val="PargrafodaLista"/>
        <w:numPr>
          <w:ilvl w:val="0"/>
          <w:numId w:val="12"/>
        </w:numPr>
        <w:jc w:val="left"/>
      </w:pPr>
      <w:r w:rsidRPr="00216ADE">
        <w:t xml:space="preserve">The proposed Permanent Council for Artificial Intelligence Regulatory Cooperation (CRIA) will be valuable for </w:t>
      </w:r>
      <w:r w:rsidRPr="00106CFD">
        <w:rPr>
          <w:b/>
          <w:bCs/>
        </w:rPr>
        <w:t>coordinating responsibilities across regulatory agencies</w:t>
      </w:r>
      <w:r w:rsidRPr="00216ADE">
        <w:t xml:space="preserve">. </w:t>
      </w:r>
    </w:p>
    <w:p w14:paraId="3381EA0F" w14:textId="77777777" w:rsidR="00391CEC" w:rsidRDefault="00391CEC" w:rsidP="00391CEC">
      <w:pPr>
        <w:pStyle w:val="PargrafodaLista"/>
      </w:pPr>
    </w:p>
    <w:p w14:paraId="19FD0603" w14:textId="77777777" w:rsidR="00391CEC" w:rsidRDefault="00391CEC" w:rsidP="00391CEC">
      <w:pPr>
        <w:pStyle w:val="PargrafodaLista"/>
        <w:numPr>
          <w:ilvl w:val="0"/>
          <w:numId w:val="12"/>
        </w:numPr>
        <w:jc w:val="left"/>
      </w:pPr>
      <w:r w:rsidRPr="004A21DC">
        <w:t xml:space="preserve">The bill provides for the creation of </w:t>
      </w:r>
      <w:r w:rsidRPr="004A21DC">
        <w:rPr>
          <w:b/>
          <w:bCs/>
        </w:rPr>
        <w:t>regulatory sandboxes</w:t>
      </w:r>
      <w:r w:rsidRPr="004A21DC">
        <w:t>. Sandboxes can be useful test grounds for designing regulation in ways that protect people while enabling innovation</w:t>
      </w:r>
      <w:r>
        <w:t>.</w:t>
      </w:r>
    </w:p>
    <w:p w14:paraId="1ADC5C49" w14:textId="77777777" w:rsidR="00391CEC" w:rsidRDefault="00391CEC" w:rsidP="00391CEC">
      <w:pPr>
        <w:pStyle w:val="PargrafodaLista"/>
      </w:pPr>
    </w:p>
    <w:p w14:paraId="12CD2308" w14:textId="77777777" w:rsidR="00391CEC" w:rsidRPr="004A21DC" w:rsidRDefault="00391CEC" w:rsidP="00391CEC">
      <w:pPr>
        <w:pStyle w:val="PargrafodaLista"/>
        <w:numPr>
          <w:ilvl w:val="0"/>
          <w:numId w:val="12"/>
        </w:numPr>
        <w:jc w:val="left"/>
      </w:pPr>
      <w:r w:rsidRPr="004A21DC">
        <w:t xml:space="preserve">Can the law provide incentives to use them, such as favorable consideration during enforcement proceedings?  </w:t>
      </w:r>
    </w:p>
    <w:p w14:paraId="62C59A75" w14:textId="77777777" w:rsidR="00391CEC" w:rsidRDefault="00391CEC" w:rsidP="00391CEC">
      <w:pPr>
        <w:pStyle w:val="PargrafodaLista"/>
      </w:pPr>
    </w:p>
    <w:p w14:paraId="51C36F51" w14:textId="77777777" w:rsidR="00391CEC" w:rsidRPr="004A21DC" w:rsidRDefault="00391CEC" w:rsidP="00391CEC">
      <w:pPr>
        <w:pStyle w:val="PargrafodaLista"/>
        <w:numPr>
          <w:ilvl w:val="0"/>
          <w:numId w:val="12"/>
        </w:numPr>
        <w:jc w:val="left"/>
      </w:pPr>
      <w:r w:rsidRPr="004A21DC">
        <w:lastRenderedPageBreak/>
        <w:t xml:space="preserve">Section IV, Algorithmic Impact Assessment, says that algorithmic impact assessment of AI systems will be the responsibility of the developer and applicator. It will be important to </w:t>
      </w:r>
      <w:r w:rsidRPr="004A21DC">
        <w:rPr>
          <w:b/>
          <w:bCs/>
        </w:rPr>
        <w:t>clarify the responsibilities of the developer vs. the deployer</w:t>
      </w:r>
      <w:r w:rsidRPr="004A21DC">
        <w:t xml:space="preserve"> for impact assessments.</w:t>
      </w:r>
    </w:p>
    <w:p w14:paraId="51925715" w14:textId="77777777" w:rsidR="00391CEC" w:rsidRDefault="00391CEC" w:rsidP="00391CEC">
      <w:pPr>
        <w:pStyle w:val="PargrafodaLista"/>
      </w:pPr>
    </w:p>
    <w:p w14:paraId="7623A69A" w14:textId="77777777" w:rsidR="00391CEC" w:rsidRPr="004A21DC" w:rsidRDefault="00391CEC" w:rsidP="00391CEC">
      <w:pPr>
        <w:pStyle w:val="PargrafodaLista"/>
        <w:numPr>
          <w:ilvl w:val="0"/>
          <w:numId w:val="12"/>
        </w:numPr>
        <w:jc w:val="left"/>
      </w:pPr>
      <w:r w:rsidRPr="004A21DC">
        <w:t xml:space="preserve">The bill proposes creation of a public data of high-risk AI. If the database is created, </w:t>
      </w:r>
      <w:r w:rsidRPr="004A21DC">
        <w:rPr>
          <w:b/>
          <w:bCs/>
        </w:rPr>
        <w:t xml:space="preserve">access should be subject to appropriate safeguards </w:t>
      </w:r>
      <w:r>
        <w:t xml:space="preserve">to </w:t>
      </w:r>
      <w:r w:rsidRPr="004A21DC">
        <w:t>protect the confidentiality of sensitive information that could be exploited by malicious actors.</w:t>
      </w:r>
    </w:p>
    <w:p w14:paraId="50BB6A50" w14:textId="77777777" w:rsidR="00391CEC" w:rsidRDefault="00391CEC" w:rsidP="00391CEC">
      <w:pPr>
        <w:pStyle w:val="PargrafodaLista"/>
      </w:pPr>
    </w:p>
    <w:p w14:paraId="40EA6F61" w14:textId="77777777" w:rsidR="00391CEC" w:rsidRPr="004A21DC" w:rsidRDefault="00391CEC" w:rsidP="00391CEC">
      <w:pPr>
        <w:pStyle w:val="PargrafodaLista"/>
        <w:numPr>
          <w:ilvl w:val="0"/>
          <w:numId w:val="12"/>
        </w:numPr>
        <w:jc w:val="left"/>
      </w:pPr>
      <w:r w:rsidRPr="004A21DC">
        <w:t xml:space="preserve">Liability for AI harms is a challenging topic. Determining harms and who is responsible for them will require </w:t>
      </w:r>
      <w:r w:rsidRPr="004A21DC">
        <w:rPr>
          <w:b/>
          <w:bCs/>
        </w:rPr>
        <w:t>careful consideration of the circumstances in question</w:t>
      </w:r>
      <w:r w:rsidRPr="004A21DC">
        <w:t xml:space="preserve">. </w:t>
      </w:r>
    </w:p>
    <w:p w14:paraId="7CBFC0CA" w14:textId="77777777" w:rsidR="00391CEC" w:rsidRDefault="00391CEC" w:rsidP="00391CEC">
      <w:pPr>
        <w:pStyle w:val="PargrafodaLista"/>
      </w:pPr>
    </w:p>
    <w:p w14:paraId="6353FC71" w14:textId="77777777" w:rsidR="00391CEC" w:rsidRDefault="00391CEC" w:rsidP="00391CEC">
      <w:pPr>
        <w:pStyle w:val="PargrafodaLista"/>
        <w:numPr>
          <w:ilvl w:val="0"/>
          <w:numId w:val="12"/>
        </w:numPr>
        <w:jc w:val="left"/>
      </w:pPr>
      <w:r w:rsidRPr="004A21DC">
        <w:t>It is important to ensure that regulators and government agencies implementing the legislation are also educated on AI. When regulators understand the technology and its capabilities, they will be best positioned to maximize its benefits while addressing potential harms</w:t>
      </w:r>
    </w:p>
    <w:p w14:paraId="28086D05" w14:textId="77777777" w:rsidR="00391CEC" w:rsidRPr="004A21DC" w:rsidRDefault="00391CEC" w:rsidP="00391CEC">
      <w:r w:rsidRPr="004A21DC">
        <w:t xml:space="preserve">In closing, CIPL believes that a </w:t>
      </w:r>
      <w:r w:rsidRPr="004A21DC">
        <w:rPr>
          <w:b/>
          <w:bCs/>
        </w:rPr>
        <w:t>flexible, risk-based law with robust accountability requirements,</w:t>
      </w:r>
      <w:r w:rsidRPr="004A21DC">
        <w:t xml:space="preserve"> including co-regulatory mechanisms with demonstrable and enforceable compliance programs can strengthen protection for individuals and innovation alike.</w:t>
      </w:r>
    </w:p>
    <w:p w14:paraId="664B16DB" w14:textId="77777777" w:rsidR="00391CEC" w:rsidRPr="004A21DC" w:rsidRDefault="00391CEC" w:rsidP="00391CEC">
      <w:r w:rsidRPr="004A21DC">
        <w:t>With that, I conclude my presentation, and welcome your questions.</w:t>
      </w:r>
    </w:p>
    <w:p w14:paraId="69B8B8AE" w14:textId="77777777" w:rsidR="00391CEC" w:rsidRPr="00216ADE" w:rsidRDefault="00391CEC" w:rsidP="00391CEC"/>
    <w:p w14:paraId="6E91E557" w14:textId="77777777" w:rsidR="00391CEC" w:rsidRPr="00216ADE" w:rsidRDefault="00391CEC" w:rsidP="00391CEC">
      <w:pPr>
        <w:rPr>
          <w:lang w:val="en-US"/>
        </w:rPr>
      </w:pPr>
    </w:p>
    <w:p w14:paraId="3310E911" w14:textId="77777777" w:rsidR="00210272" w:rsidRPr="00391CEC" w:rsidRDefault="00210272" w:rsidP="00685857">
      <w:pPr>
        <w:tabs>
          <w:tab w:val="left" w:pos="2687"/>
          <w:tab w:val="left" w:pos="3587"/>
        </w:tabs>
        <w:ind w:left="87"/>
        <w:jc w:val="left"/>
        <w:rPr>
          <w:rFonts w:cstheme="minorHAnsi"/>
          <w:b/>
          <w:bCs/>
          <w:lang w:val="en-US"/>
        </w:rPr>
      </w:pPr>
    </w:p>
    <w:p w14:paraId="202D1722" w14:textId="77777777" w:rsidR="00210272" w:rsidRDefault="00210272" w:rsidP="00685857">
      <w:pPr>
        <w:tabs>
          <w:tab w:val="left" w:pos="2687"/>
          <w:tab w:val="left" w:pos="3587"/>
        </w:tabs>
        <w:ind w:left="87"/>
        <w:jc w:val="left"/>
        <w:rPr>
          <w:rFonts w:cstheme="minorHAnsi"/>
          <w:b/>
          <w:bCs/>
        </w:rPr>
      </w:pPr>
    </w:p>
    <w:p w14:paraId="6450DF0C" w14:textId="77777777" w:rsidR="00087642" w:rsidRDefault="00087642" w:rsidP="005F0A92">
      <w:pPr>
        <w:spacing w:after="0"/>
      </w:pPr>
    </w:p>
    <w:sectPr w:rsidR="00087642" w:rsidSect="00087642">
      <w:headerReference w:type="even" r:id="rId8"/>
      <w:headerReference w:type="default" r:id="rId9"/>
      <w:footerReference w:type="default" r:id="rId10"/>
      <w:headerReference w:type="firs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84EF" w14:textId="77777777" w:rsidR="00560816" w:rsidRDefault="00560816" w:rsidP="00087642">
      <w:r>
        <w:separator/>
      </w:r>
    </w:p>
  </w:endnote>
  <w:endnote w:type="continuationSeparator" w:id="0">
    <w:p w14:paraId="1AC1110C" w14:textId="77777777" w:rsidR="00560816" w:rsidRDefault="00560816" w:rsidP="0008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1BD5" w14:textId="484B6EE5" w:rsidR="00087642" w:rsidRDefault="00087642">
    <w:pPr>
      <w:pStyle w:val="Rodap"/>
      <w:jc w:val="center"/>
    </w:pPr>
  </w:p>
  <w:p w14:paraId="4CB9B99B" w14:textId="10EA1EDC" w:rsidR="00087642" w:rsidRPr="00ED6E96" w:rsidRDefault="00117A44">
    <w:pPr>
      <w:pStyle w:val="Rodap"/>
      <w:rPr>
        <w:sz w:val="20"/>
        <w:szCs w:val="20"/>
      </w:rPr>
    </w:pPr>
    <w:r>
      <w:rPr>
        <w:noProof/>
      </w:rPr>
      <mc:AlternateContent>
        <mc:Choice Requires="wps">
          <w:drawing>
            <wp:anchor distT="45720" distB="45720" distL="114300" distR="114300" simplePos="0" relativeHeight="251669504" behindDoc="0" locked="0" layoutInCell="1" allowOverlap="1" wp14:anchorId="680B28F5" wp14:editId="025A032D">
              <wp:simplePos x="0" y="0"/>
              <wp:positionH relativeFrom="margin">
                <wp:align>center</wp:align>
              </wp:positionH>
              <wp:positionV relativeFrom="paragraph">
                <wp:posOffset>219075</wp:posOffset>
              </wp:positionV>
              <wp:extent cx="4232275" cy="2209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220980"/>
                      </a:xfrm>
                      <a:prstGeom prst="rect">
                        <a:avLst/>
                      </a:prstGeom>
                      <a:solidFill>
                        <a:srgbClr val="FFFFFF"/>
                      </a:solidFill>
                      <a:ln w="9525">
                        <a:noFill/>
                        <a:miter lim="800000"/>
                        <a:headEnd/>
                        <a:tailEnd/>
                      </a:ln>
                    </wps:spPr>
                    <wps:txbx>
                      <w:txbxContent>
                        <w:p w14:paraId="5DCF7349" w14:textId="23C66D99" w:rsidR="00117A44" w:rsidRPr="00A8139A" w:rsidRDefault="00117A44" w:rsidP="00117A44">
                          <w:pPr>
                            <w:pStyle w:val="Rodap"/>
                            <w:rPr>
                              <w:sz w:val="16"/>
                              <w:szCs w:val="16"/>
                            </w:rPr>
                          </w:pPr>
                          <w:r w:rsidRPr="00A8139A">
                            <w:rPr>
                              <w:rFonts w:ascii="Calibri" w:eastAsia="Calibri" w:hAnsi="Calibri"/>
                              <w:sz w:val="16"/>
                              <w:szCs w:val="16"/>
                            </w:rPr>
                            <w:t>Copyright © 202</w:t>
                          </w:r>
                          <w:r w:rsidR="00F66F4B">
                            <w:rPr>
                              <w:rFonts w:ascii="Calibri" w:eastAsia="Calibri" w:hAnsi="Calibri"/>
                              <w:sz w:val="16"/>
                              <w:szCs w:val="16"/>
                            </w:rPr>
                            <w:t>4</w:t>
                          </w:r>
                          <w:r w:rsidRPr="00A8139A">
                            <w:rPr>
                              <w:rFonts w:ascii="Calibri" w:eastAsia="Calibri" w:hAnsi="Calibri"/>
                              <w:sz w:val="16"/>
                              <w:szCs w:val="16"/>
                            </w:rPr>
                            <w:t xml:space="preserve"> by the Centre for Information Policy Leadership at Hunton Andrews Kurth LLP.</w:t>
                          </w:r>
                        </w:p>
                        <w:p w14:paraId="7A8693D4" w14:textId="77777777" w:rsidR="00117A44" w:rsidRDefault="00117A44" w:rsidP="00117A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B28F5" id="_x0000_t202" coordsize="21600,21600" o:spt="202" path="m,l,21600r21600,l21600,xe">
              <v:stroke joinstyle="miter"/>
              <v:path gradientshapeok="t" o:connecttype="rect"/>
            </v:shapetype>
            <v:shape id="Text Box 2" o:spid="_x0000_s1026" type="#_x0000_t202" style="position:absolute;left:0;text-align:left;margin-left:0;margin-top:17.25pt;width:333.25pt;height:17.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" stroked="f">
              <v:textbox>
                <w:txbxContent>
                  <w:p w14:paraId="5DCF7349" w14:textId="23C66D99" w:rsidR="00117A44" w:rsidRPr="00A8139A" w:rsidRDefault="00117A44" w:rsidP="00117A44">
                    <w:pPr>
                      <w:pStyle w:val="Footer"/>
                      <w:rPr>
                        <w:sz w:val="16"/>
                        <w:szCs w:val="16"/>
                      </w:rPr>
                    </w:pPr>
                    <w:r w:rsidRPr="00A8139A">
                      <w:rPr>
                        <w:rFonts w:ascii="Calibri" w:eastAsia="Calibri" w:hAnsi="Calibri"/>
                        <w:sz w:val="16"/>
                        <w:szCs w:val="16"/>
                      </w:rPr>
                      <w:t>Copyright © 202</w:t>
                    </w:r>
                    <w:r w:rsidR="00F66F4B">
                      <w:rPr>
                        <w:rFonts w:ascii="Calibri" w:eastAsia="Calibri" w:hAnsi="Calibri"/>
                        <w:sz w:val="16"/>
                        <w:szCs w:val="16"/>
                      </w:rPr>
                      <w:t>4</w:t>
                    </w:r>
                    <w:r w:rsidRPr="00A8139A">
                      <w:rPr>
                        <w:rFonts w:ascii="Calibri" w:eastAsia="Calibri" w:hAnsi="Calibri"/>
                        <w:sz w:val="16"/>
                        <w:szCs w:val="16"/>
                      </w:rPr>
                      <w:t xml:space="preserve"> by the Centre for Information Policy Leadership at Hunton Andrews Kurth LLP.</w:t>
                    </w:r>
                  </w:p>
                  <w:p w14:paraId="7A8693D4" w14:textId="77777777" w:rsidR="00117A44" w:rsidRDefault="00117A44" w:rsidP="00117A44"/>
                </w:txbxContent>
              </v:textbox>
              <w10:wrap type="square" anchorx="margin"/>
            </v:shape>
          </w:pict>
        </mc:Fallback>
      </mc:AlternateContent>
    </w:r>
    <w:r w:rsidR="00ED6E96" w:rsidRPr="00ED6E96">
      <w:rPr>
        <w:sz w:val="20"/>
        <w:szCs w:val="20"/>
      </w:rPr>
      <w:tab/>
    </w:r>
    <w:r w:rsidR="00ED6E96" w:rsidRPr="00ED6E96">
      <w:rPr>
        <w:sz w:val="20"/>
        <w:szCs w:val="20"/>
      </w:rPr>
      <w:fldChar w:fldCharType="begin"/>
    </w:r>
    <w:r w:rsidR="00ED6E96" w:rsidRPr="00ED6E96">
      <w:rPr>
        <w:sz w:val="20"/>
        <w:szCs w:val="20"/>
      </w:rPr>
      <w:instrText xml:space="preserve"> PAGE   \* MERGEFORMAT </w:instrText>
    </w:r>
    <w:r w:rsidR="00ED6E96" w:rsidRPr="00ED6E96">
      <w:rPr>
        <w:sz w:val="20"/>
        <w:szCs w:val="20"/>
      </w:rPr>
      <w:fldChar w:fldCharType="separate"/>
    </w:r>
    <w:r w:rsidR="00ED6E96" w:rsidRPr="00ED6E96">
      <w:rPr>
        <w:sz w:val="20"/>
        <w:szCs w:val="20"/>
      </w:rPr>
      <w:t>1</w:t>
    </w:r>
    <w:r w:rsidR="00ED6E96" w:rsidRPr="00ED6E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0A850" w14:textId="77777777" w:rsidR="00560816" w:rsidRDefault="00560816" w:rsidP="00087642">
      <w:r>
        <w:separator/>
      </w:r>
    </w:p>
  </w:footnote>
  <w:footnote w:type="continuationSeparator" w:id="0">
    <w:p w14:paraId="72469547" w14:textId="77777777" w:rsidR="00560816" w:rsidRDefault="00560816" w:rsidP="0008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F8DA" w14:textId="77777777" w:rsidR="00087642" w:rsidRDefault="00C93F76" w:rsidP="00087642">
    <w:pPr>
      <w:pStyle w:val="Cabealho"/>
    </w:pPr>
    <w:r>
      <w:rPr>
        <w:noProof/>
      </w:rPr>
      <w:pict w14:anchorId="4367B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362219" o:spid="_x0000_s1026"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FAD1" w14:textId="5C46914B" w:rsidR="00087642" w:rsidRDefault="00087642" w:rsidP="00087642">
    <w:pPr>
      <w:pStyle w:val="Cabealho"/>
      <w:jc w:val="right"/>
    </w:pPr>
    <w:r>
      <w:rPr>
        <w:noProof/>
        <w:lang w:val="pt-BR" w:eastAsia="pt-BR"/>
      </w:rPr>
      <w:drawing>
        <wp:anchor distT="0" distB="0" distL="114300" distR="114300" simplePos="0" relativeHeight="251660288" behindDoc="1" locked="0" layoutInCell="1" allowOverlap="1" wp14:anchorId="4D74AEA1" wp14:editId="105C28D6">
          <wp:simplePos x="0" y="0"/>
          <wp:positionH relativeFrom="column">
            <wp:posOffset>-666750</wp:posOffset>
          </wp:positionH>
          <wp:positionV relativeFrom="paragraph">
            <wp:posOffset>-274320</wp:posOffset>
          </wp:positionV>
          <wp:extent cx="1244600" cy="622300"/>
          <wp:effectExtent l="0" t="0" r="0" b="6350"/>
          <wp:wrapTight wrapText="bothSides">
            <wp:wrapPolygon edited="0">
              <wp:start x="2314" y="0"/>
              <wp:lineTo x="661" y="3967"/>
              <wp:lineTo x="331" y="7273"/>
              <wp:lineTo x="0" y="19837"/>
              <wp:lineTo x="992" y="21159"/>
              <wp:lineTo x="9588" y="21159"/>
              <wp:lineTo x="10910" y="21159"/>
              <wp:lineTo x="20167" y="21159"/>
              <wp:lineTo x="21159" y="20498"/>
              <wp:lineTo x="21159" y="11241"/>
              <wp:lineTo x="17522" y="0"/>
              <wp:lineTo x="2314" y="0"/>
            </wp:wrapPolygon>
          </wp:wrapTight>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600" cy="622300"/>
                  </a:xfrm>
                  <a:prstGeom prst="rect">
                    <a:avLst/>
                  </a:prstGeom>
                </pic:spPr>
              </pic:pic>
            </a:graphicData>
          </a:graphic>
          <wp14:sizeRelH relativeFrom="margin">
            <wp14:pctWidth>0</wp14:pctWidth>
          </wp14:sizeRelH>
          <wp14:sizeRelV relativeFrom="margin">
            <wp14:pctHeight>0</wp14:pctHeight>
          </wp14:sizeRelV>
        </wp:anchor>
      </w:drawing>
    </w:r>
    <w:r w:rsidR="00391CEC">
      <w:t>September 4, 2024</w:t>
    </w:r>
  </w:p>
  <w:p w14:paraId="10E2D1DC" w14:textId="77777777" w:rsidR="00087642" w:rsidRDefault="00087642" w:rsidP="0008764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FAC49" w14:textId="77777777" w:rsidR="00087642" w:rsidRDefault="00625AD7" w:rsidP="00087642">
    <w:pPr>
      <w:pStyle w:val="Cabealho"/>
    </w:pPr>
    <w:r>
      <w:rPr>
        <w:rFonts w:ascii="Calibri" w:hAnsi="Calibri" w:cs="Calibri"/>
        <w:noProof/>
        <w:lang w:val="pt-BR" w:eastAsia="pt-BR"/>
      </w:rPr>
      <w:drawing>
        <wp:anchor distT="0" distB="0" distL="114300" distR="114300" simplePos="0" relativeHeight="251667456" behindDoc="1" locked="0" layoutInCell="1" allowOverlap="1" wp14:anchorId="3A97651F" wp14:editId="5D0F25C2">
          <wp:simplePos x="0" y="0"/>
          <wp:positionH relativeFrom="column">
            <wp:posOffset>-647700</wp:posOffset>
          </wp:positionH>
          <wp:positionV relativeFrom="paragraph">
            <wp:posOffset>-222885</wp:posOffset>
          </wp:positionV>
          <wp:extent cx="1638300" cy="819150"/>
          <wp:effectExtent l="0" t="0" r="0" b="0"/>
          <wp:wrapTight wrapText="bothSides">
            <wp:wrapPolygon edited="0">
              <wp:start x="0" y="0"/>
              <wp:lineTo x="0" y="21098"/>
              <wp:lineTo x="21349" y="21098"/>
              <wp:lineTo x="2134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170_CIPL_Logo_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19150"/>
                  </a:xfrm>
                  <a:prstGeom prst="rect">
                    <a:avLst/>
                  </a:prstGeom>
                </pic:spPr>
              </pic:pic>
            </a:graphicData>
          </a:graphic>
        </wp:anchor>
      </w:drawing>
    </w:r>
    <w:r w:rsidR="00C93F76">
      <w:rPr>
        <w:noProof/>
      </w:rPr>
      <w:pict w14:anchorId="2928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362218" o:spid="_x0000_s1025" type="#_x0000_t136" style="position:absolute;left:0;text-align:left;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3745"/>
    <w:multiLevelType w:val="hybridMultilevel"/>
    <w:tmpl w:val="2E52611E"/>
    <w:lvl w:ilvl="0" w:tplc="32A664F4">
      <w:start w:val="1"/>
      <w:numFmt w:val="bullet"/>
      <w:lvlText w:val="•"/>
      <w:lvlJc w:val="left"/>
      <w:pPr>
        <w:tabs>
          <w:tab w:val="num" w:pos="720"/>
        </w:tabs>
        <w:ind w:left="720" w:hanging="360"/>
      </w:pPr>
      <w:rPr>
        <w:rFonts w:ascii="Arial" w:hAnsi="Arial" w:hint="default"/>
      </w:rPr>
    </w:lvl>
    <w:lvl w:ilvl="1" w:tplc="6BA288FC">
      <w:numFmt w:val="bullet"/>
      <w:lvlText w:val="•"/>
      <w:lvlJc w:val="left"/>
      <w:pPr>
        <w:tabs>
          <w:tab w:val="num" w:pos="1440"/>
        </w:tabs>
        <w:ind w:left="1440" w:hanging="360"/>
      </w:pPr>
      <w:rPr>
        <w:rFonts w:ascii="Arial" w:hAnsi="Arial" w:hint="default"/>
      </w:rPr>
    </w:lvl>
    <w:lvl w:ilvl="2" w:tplc="C3041C5A" w:tentative="1">
      <w:start w:val="1"/>
      <w:numFmt w:val="bullet"/>
      <w:lvlText w:val="•"/>
      <w:lvlJc w:val="left"/>
      <w:pPr>
        <w:tabs>
          <w:tab w:val="num" w:pos="2160"/>
        </w:tabs>
        <w:ind w:left="2160" w:hanging="360"/>
      </w:pPr>
      <w:rPr>
        <w:rFonts w:ascii="Arial" w:hAnsi="Arial" w:hint="default"/>
      </w:rPr>
    </w:lvl>
    <w:lvl w:ilvl="3" w:tplc="F29CD5E6" w:tentative="1">
      <w:start w:val="1"/>
      <w:numFmt w:val="bullet"/>
      <w:lvlText w:val="•"/>
      <w:lvlJc w:val="left"/>
      <w:pPr>
        <w:tabs>
          <w:tab w:val="num" w:pos="2880"/>
        </w:tabs>
        <w:ind w:left="2880" w:hanging="360"/>
      </w:pPr>
      <w:rPr>
        <w:rFonts w:ascii="Arial" w:hAnsi="Arial" w:hint="default"/>
      </w:rPr>
    </w:lvl>
    <w:lvl w:ilvl="4" w:tplc="90F82240" w:tentative="1">
      <w:start w:val="1"/>
      <w:numFmt w:val="bullet"/>
      <w:lvlText w:val="•"/>
      <w:lvlJc w:val="left"/>
      <w:pPr>
        <w:tabs>
          <w:tab w:val="num" w:pos="3600"/>
        </w:tabs>
        <w:ind w:left="3600" w:hanging="360"/>
      </w:pPr>
      <w:rPr>
        <w:rFonts w:ascii="Arial" w:hAnsi="Arial" w:hint="default"/>
      </w:rPr>
    </w:lvl>
    <w:lvl w:ilvl="5" w:tplc="365A8802" w:tentative="1">
      <w:start w:val="1"/>
      <w:numFmt w:val="bullet"/>
      <w:lvlText w:val="•"/>
      <w:lvlJc w:val="left"/>
      <w:pPr>
        <w:tabs>
          <w:tab w:val="num" w:pos="4320"/>
        </w:tabs>
        <w:ind w:left="4320" w:hanging="360"/>
      </w:pPr>
      <w:rPr>
        <w:rFonts w:ascii="Arial" w:hAnsi="Arial" w:hint="default"/>
      </w:rPr>
    </w:lvl>
    <w:lvl w:ilvl="6" w:tplc="513A89E6" w:tentative="1">
      <w:start w:val="1"/>
      <w:numFmt w:val="bullet"/>
      <w:lvlText w:val="•"/>
      <w:lvlJc w:val="left"/>
      <w:pPr>
        <w:tabs>
          <w:tab w:val="num" w:pos="5040"/>
        </w:tabs>
        <w:ind w:left="5040" w:hanging="360"/>
      </w:pPr>
      <w:rPr>
        <w:rFonts w:ascii="Arial" w:hAnsi="Arial" w:hint="default"/>
      </w:rPr>
    </w:lvl>
    <w:lvl w:ilvl="7" w:tplc="DEB6830E" w:tentative="1">
      <w:start w:val="1"/>
      <w:numFmt w:val="bullet"/>
      <w:lvlText w:val="•"/>
      <w:lvlJc w:val="left"/>
      <w:pPr>
        <w:tabs>
          <w:tab w:val="num" w:pos="5760"/>
        </w:tabs>
        <w:ind w:left="5760" w:hanging="360"/>
      </w:pPr>
      <w:rPr>
        <w:rFonts w:ascii="Arial" w:hAnsi="Arial" w:hint="default"/>
      </w:rPr>
    </w:lvl>
    <w:lvl w:ilvl="8" w:tplc="11C87C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A4354"/>
    <w:multiLevelType w:val="hybridMultilevel"/>
    <w:tmpl w:val="178A5E04"/>
    <w:lvl w:ilvl="0" w:tplc="F604A7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0E0FBD"/>
    <w:multiLevelType w:val="hybridMultilevel"/>
    <w:tmpl w:val="9D5674BC"/>
    <w:lvl w:ilvl="0" w:tplc="D2BAD682">
      <w:start w:val="1"/>
      <w:numFmt w:val="upperRoman"/>
      <w:pStyle w:val="Ttulo1"/>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4A2A75"/>
    <w:multiLevelType w:val="hybridMultilevel"/>
    <w:tmpl w:val="2DF46CEA"/>
    <w:lvl w:ilvl="0" w:tplc="A8AEB2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CD01CC"/>
    <w:multiLevelType w:val="hybridMultilevel"/>
    <w:tmpl w:val="2A1A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95BA5"/>
    <w:multiLevelType w:val="hybridMultilevel"/>
    <w:tmpl w:val="16BCA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F6B28A1"/>
    <w:multiLevelType w:val="hybridMultilevel"/>
    <w:tmpl w:val="BA4809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076795"/>
    <w:multiLevelType w:val="hybridMultilevel"/>
    <w:tmpl w:val="3626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12A38"/>
    <w:multiLevelType w:val="hybridMultilevel"/>
    <w:tmpl w:val="C6B8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9292A"/>
    <w:multiLevelType w:val="hybridMultilevel"/>
    <w:tmpl w:val="F72E27BC"/>
    <w:lvl w:ilvl="0" w:tplc="BCD49E1C">
      <w:start w:val="1"/>
      <w:numFmt w:val="decimal"/>
      <w:pStyle w:val="Ttulo2"/>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5630D59"/>
    <w:multiLevelType w:val="hybridMultilevel"/>
    <w:tmpl w:val="8C8A1D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0A314F"/>
    <w:multiLevelType w:val="hybridMultilevel"/>
    <w:tmpl w:val="5C4A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388699">
    <w:abstractNumId w:val="1"/>
  </w:num>
  <w:num w:numId="2" w16cid:durableId="1576738970">
    <w:abstractNumId w:val="2"/>
  </w:num>
  <w:num w:numId="3" w16cid:durableId="2023047561">
    <w:abstractNumId w:val="6"/>
  </w:num>
  <w:num w:numId="4" w16cid:durableId="2007392757">
    <w:abstractNumId w:val="9"/>
  </w:num>
  <w:num w:numId="5" w16cid:durableId="1455249266">
    <w:abstractNumId w:val="5"/>
  </w:num>
  <w:num w:numId="6" w16cid:durableId="520317292">
    <w:abstractNumId w:val="3"/>
  </w:num>
  <w:num w:numId="7" w16cid:durableId="803082549">
    <w:abstractNumId w:val="10"/>
  </w:num>
  <w:num w:numId="8" w16cid:durableId="1192911428">
    <w:abstractNumId w:val="11"/>
  </w:num>
  <w:num w:numId="9" w16cid:durableId="282343584">
    <w:abstractNumId w:val="4"/>
  </w:num>
  <w:num w:numId="10" w16cid:durableId="1208251004">
    <w:abstractNumId w:val="8"/>
  </w:num>
  <w:num w:numId="11" w16cid:durableId="230576999">
    <w:abstractNumId w:val="0"/>
  </w:num>
  <w:num w:numId="12" w16cid:durableId="1886402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54"/>
    <w:rsid w:val="00004A88"/>
    <w:rsid w:val="000121F2"/>
    <w:rsid w:val="0001295A"/>
    <w:rsid w:val="00013EB3"/>
    <w:rsid w:val="00014C68"/>
    <w:rsid w:val="000157FE"/>
    <w:rsid w:val="00026004"/>
    <w:rsid w:val="000334E5"/>
    <w:rsid w:val="00036CCD"/>
    <w:rsid w:val="0004131F"/>
    <w:rsid w:val="00046665"/>
    <w:rsid w:val="00050C43"/>
    <w:rsid w:val="000534ED"/>
    <w:rsid w:val="00062DAA"/>
    <w:rsid w:val="000710D9"/>
    <w:rsid w:val="00084E44"/>
    <w:rsid w:val="000859A3"/>
    <w:rsid w:val="00087642"/>
    <w:rsid w:val="000901A7"/>
    <w:rsid w:val="00096BF6"/>
    <w:rsid w:val="000A0A28"/>
    <w:rsid w:val="000A5621"/>
    <w:rsid w:val="000C2835"/>
    <w:rsid w:val="000C2DD7"/>
    <w:rsid w:val="000C43EF"/>
    <w:rsid w:val="000C6935"/>
    <w:rsid w:val="000D242D"/>
    <w:rsid w:val="000D6CFB"/>
    <w:rsid w:val="000D76B3"/>
    <w:rsid w:val="000E49C9"/>
    <w:rsid w:val="000F1B15"/>
    <w:rsid w:val="000F1F87"/>
    <w:rsid w:val="000F6726"/>
    <w:rsid w:val="00100711"/>
    <w:rsid w:val="00103218"/>
    <w:rsid w:val="001069B7"/>
    <w:rsid w:val="00106C07"/>
    <w:rsid w:val="0011564C"/>
    <w:rsid w:val="00117A44"/>
    <w:rsid w:val="00120E8D"/>
    <w:rsid w:val="00143CE1"/>
    <w:rsid w:val="001442D4"/>
    <w:rsid w:val="00144D3F"/>
    <w:rsid w:val="001464D9"/>
    <w:rsid w:val="001472BF"/>
    <w:rsid w:val="0014758E"/>
    <w:rsid w:val="00154395"/>
    <w:rsid w:val="00156B76"/>
    <w:rsid w:val="00157FCF"/>
    <w:rsid w:val="00160E4C"/>
    <w:rsid w:val="00181C55"/>
    <w:rsid w:val="00186171"/>
    <w:rsid w:val="0018767B"/>
    <w:rsid w:val="00191835"/>
    <w:rsid w:val="0019614B"/>
    <w:rsid w:val="001B4349"/>
    <w:rsid w:val="001D0742"/>
    <w:rsid w:val="001D12B6"/>
    <w:rsid w:val="001D5391"/>
    <w:rsid w:val="001E27C0"/>
    <w:rsid w:val="001E4126"/>
    <w:rsid w:val="001F0D65"/>
    <w:rsid w:val="001F3FBA"/>
    <w:rsid w:val="0020183E"/>
    <w:rsid w:val="00204F63"/>
    <w:rsid w:val="00210272"/>
    <w:rsid w:val="00214E6F"/>
    <w:rsid w:val="00232FDA"/>
    <w:rsid w:val="00235E2F"/>
    <w:rsid w:val="00244D50"/>
    <w:rsid w:val="0024612B"/>
    <w:rsid w:val="0025039C"/>
    <w:rsid w:val="0025629C"/>
    <w:rsid w:val="00260C3F"/>
    <w:rsid w:val="002615EE"/>
    <w:rsid w:val="00261925"/>
    <w:rsid w:val="00262B2F"/>
    <w:rsid w:val="0026600C"/>
    <w:rsid w:val="00286C55"/>
    <w:rsid w:val="0029373A"/>
    <w:rsid w:val="00294A7F"/>
    <w:rsid w:val="002B4E33"/>
    <w:rsid w:val="002B7B16"/>
    <w:rsid w:val="002C1661"/>
    <w:rsid w:val="002C30C9"/>
    <w:rsid w:val="002D2528"/>
    <w:rsid w:val="002D3A57"/>
    <w:rsid w:val="002E1A7A"/>
    <w:rsid w:val="002F0DCC"/>
    <w:rsid w:val="002F356E"/>
    <w:rsid w:val="00306B24"/>
    <w:rsid w:val="003076CF"/>
    <w:rsid w:val="00310D70"/>
    <w:rsid w:val="0031634C"/>
    <w:rsid w:val="00317019"/>
    <w:rsid w:val="0032092C"/>
    <w:rsid w:val="003355A5"/>
    <w:rsid w:val="00335A36"/>
    <w:rsid w:val="00336CBE"/>
    <w:rsid w:val="0034705D"/>
    <w:rsid w:val="00357A7C"/>
    <w:rsid w:val="00366D66"/>
    <w:rsid w:val="00373D2C"/>
    <w:rsid w:val="003747FE"/>
    <w:rsid w:val="00377DF8"/>
    <w:rsid w:val="003818C5"/>
    <w:rsid w:val="003862A2"/>
    <w:rsid w:val="00387C29"/>
    <w:rsid w:val="00391CEC"/>
    <w:rsid w:val="00397D19"/>
    <w:rsid w:val="003A3B42"/>
    <w:rsid w:val="003A42A5"/>
    <w:rsid w:val="003A42FA"/>
    <w:rsid w:val="003A48FA"/>
    <w:rsid w:val="003A5D31"/>
    <w:rsid w:val="003A7D25"/>
    <w:rsid w:val="003B079E"/>
    <w:rsid w:val="003B5CCB"/>
    <w:rsid w:val="003D6FBA"/>
    <w:rsid w:val="003D7CF9"/>
    <w:rsid w:val="003F108E"/>
    <w:rsid w:val="003F47F7"/>
    <w:rsid w:val="00403C97"/>
    <w:rsid w:val="00407C99"/>
    <w:rsid w:val="00412145"/>
    <w:rsid w:val="00423486"/>
    <w:rsid w:val="004264A8"/>
    <w:rsid w:val="00426B63"/>
    <w:rsid w:val="00433908"/>
    <w:rsid w:val="004515E6"/>
    <w:rsid w:val="00454E64"/>
    <w:rsid w:val="00455380"/>
    <w:rsid w:val="00463EE7"/>
    <w:rsid w:val="00471FA1"/>
    <w:rsid w:val="0047269E"/>
    <w:rsid w:val="004730BD"/>
    <w:rsid w:val="004741B4"/>
    <w:rsid w:val="00474B10"/>
    <w:rsid w:val="00482DEC"/>
    <w:rsid w:val="0048385A"/>
    <w:rsid w:val="004855AA"/>
    <w:rsid w:val="00494CC7"/>
    <w:rsid w:val="00497B35"/>
    <w:rsid w:val="004A33E5"/>
    <w:rsid w:val="004B3B52"/>
    <w:rsid w:val="004B3CB5"/>
    <w:rsid w:val="004B4CB7"/>
    <w:rsid w:val="004B6276"/>
    <w:rsid w:val="004C453A"/>
    <w:rsid w:val="004C4D5D"/>
    <w:rsid w:val="004D460D"/>
    <w:rsid w:val="004D631E"/>
    <w:rsid w:val="00500FB3"/>
    <w:rsid w:val="00504A8C"/>
    <w:rsid w:val="005207E9"/>
    <w:rsid w:val="00525FCC"/>
    <w:rsid w:val="00527303"/>
    <w:rsid w:val="00532D2B"/>
    <w:rsid w:val="00534CB6"/>
    <w:rsid w:val="005351D7"/>
    <w:rsid w:val="00552920"/>
    <w:rsid w:val="00560816"/>
    <w:rsid w:val="00561FBC"/>
    <w:rsid w:val="00562887"/>
    <w:rsid w:val="005811FA"/>
    <w:rsid w:val="00583BE4"/>
    <w:rsid w:val="00592F30"/>
    <w:rsid w:val="005A1AC0"/>
    <w:rsid w:val="005A25AD"/>
    <w:rsid w:val="005A7097"/>
    <w:rsid w:val="005B259A"/>
    <w:rsid w:val="005B6895"/>
    <w:rsid w:val="005C3F5E"/>
    <w:rsid w:val="005C7176"/>
    <w:rsid w:val="005D254F"/>
    <w:rsid w:val="005D60B7"/>
    <w:rsid w:val="005D6531"/>
    <w:rsid w:val="005E1A2F"/>
    <w:rsid w:val="005F0A92"/>
    <w:rsid w:val="005F4407"/>
    <w:rsid w:val="005F745E"/>
    <w:rsid w:val="00603469"/>
    <w:rsid w:val="00603638"/>
    <w:rsid w:val="00604C41"/>
    <w:rsid w:val="00613B85"/>
    <w:rsid w:val="006152F2"/>
    <w:rsid w:val="0062036A"/>
    <w:rsid w:val="00625AD7"/>
    <w:rsid w:val="00654725"/>
    <w:rsid w:val="00657141"/>
    <w:rsid w:val="00660455"/>
    <w:rsid w:val="00661548"/>
    <w:rsid w:val="006717DA"/>
    <w:rsid w:val="0067440B"/>
    <w:rsid w:val="00674B19"/>
    <w:rsid w:val="0068067A"/>
    <w:rsid w:val="0068397D"/>
    <w:rsid w:val="00684273"/>
    <w:rsid w:val="00685857"/>
    <w:rsid w:val="00686EEB"/>
    <w:rsid w:val="00692F05"/>
    <w:rsid w:val="00693847"/>
    <w:rsid w:val="00693C7C"/>
    <w:rsid w:val="00694F2F"/>
    <w:rsid w:val="006A2870"/>
    <w:rsid w:val="006A404C"/>
    <w:rsid w:val="006C40FE"/>
    <w:rsid w:val="006C6FF2"/>
    <w:rsid w:val="006D314D"/>
    <w:rsid w:val="006D3887"/>
    <w:rsid w:val="006E62DB"/>
    <w:rsid w:val="006E648C"/>
    <w:rsid w:val="006F03CA"/>
    <w:rsid w:val="006F2410"/>
    <w:rsid w:val="006F373C"/>
    <w:rsid w:val="006F406F"/>
    <w:rsid w:val="00703E49"/>
    <w:rsid w:val="00710670"/>
    <w:rsid w:val="00713A6E"/>
    <w:rsid w:val="00721AE7"/>
    <w:rsid w:val="00723F3F"/>
    <w:rsid w:val="00726892"/>
    <w:rsid w:val="007335C5"/>
    <w:rsid w:val="007341E2"/>
    <w:rsid w:val="00734B72"/>
    <w:rsid w:val="007355C5"/>
    <w:rsid w:val="0075044C"/>
    <w:rsid w:val="00754998"/>
    <w:rsid w:val="007556F6"/>
    <w:rsid w:val="007566AE"/>
    <w:rsid w:val="00761F62"/>
    <w:rsid w:val="0076622B"/>
    <w:rsid w:val="007678E7"/>
    <w:rsid w:val="00777A00"/>
    <w:rsid w:val="007811FC"/>
    <w:rsid w:val="00783981"/>
    <w:rsid w:val="00787132"/>
    <w:rsid w:val="00793087"/>
    <w:rsid w:val="007A06E4"/>
    <w:rsid w:val="007A7B23"/>
    <w:rsid w:val="007A7B6D"/>
    <w:rsid w:val="007C52DD"/>
    <w:rsid w:val="007D27BB"/>
    <w:rsid w:val="007D3E7F"/>
    <w:rsid w:val="007D77E2"/>
    <w:rsid w:val="007E20FE"/>
    <w:rsid w:val="007F264F"/>
    <w:rsid w:val="007F2F66"/>
    <w:rsid w:val="007F3FD7"/>
    <w:rsid w:val="007F599A"/>
    <w:rsid w:val="00802CB5"/>
    <w:rsid w:val="00805768"/>
    <w:rsid w:val="00807024"/>
    <w:rsid w:val="00807C16"/>
    <w:rsid w:val="00810107"/>
    <w:rsid w:val="00810AEC"/>
    <w:rsid w:val="008146FE"/>
    <w:rsid w:val="00816079"/>
    <w:rsid w:val="008175F3"/>
    <w:rsid w:val="00821FE3"/>
    <w:rsid w:val="00827115"/>
    <w:rsid w:val="008301AD"/>
    <w:rsid w:val="00830479"/>
    <w:rsid w:val="0083204E"/>
    <w:rsid w:val="0083332D"/>
    <w:rsid w:val="00844473"/>
    <w:rsid w:val="00845B40"/>
    <w:rsid w:val="00853671"/>
    <w:rsid w:val="00861085"/>
    <w:rsid w:val="008652D5"/>
    <w:rsid w:val="00867AD7"/>
    <w:rsid w:val="0087390E"/>
    <w:rsid w:val="00873D81"/>
    <w:rsid w:val="008745D3"/>
    <w:rsid w:val="00876D24"/>
    <w:rsid w:val="008831EA"/>
    <w:rsid w:val="00885DC9"/>
    <w:rsid w:val="00890235"/>
    <w:rsid w:val="008A1816"/>
    <w:rsid w:val="008A25D6"/>
    <w:rsid w:val="008A3C0B"/>
    <w:rsid w:val="008B13A4"/>
    <w:rsid w:val="008C59B5"/>
    <w:rsid w:val="008C6769"/>
    <w:rsid w:val="008D11AB"/>
    <w:rsid w:val="008D38CF"/>
    <w:rsid w:val="008D5056"/>
    <w:rsid w:val="008D566F"/>
    <w:rsid w:val="008E0817"/>
    <w:rsid w:val="008F0C8A"/>
    <w:rsid w:val="008F1D85"/>
    <w:rsid w:val="008F30B9"/>
    <w:rsid w:val="008F4F2D"/>
    <w:rsid w:val="00905593"/>
    <w:rsid w:val="00924A1B"/>
    <w:rsid w:val="00926822"/>
    <w:rsid w:val="00933DAB"/>
    <w:rsid w:val="00935AAC"/>
    <w:rsid w:val="00936071"/>
    <w:rsid w:val="00943F1A"/>
    <w:rsid w:val="00951B78"/>
    <w:rsid w:val="00957F93"/>
    <w:rsid w:val="00960FE6"/>
    <w:rsid w:val="00966EF1"/>
    <w:rsid w:val="009740B8"/>
    <w:rsid w:val="00975047"/>
    <w:rsid w:val="0097613C"/>
    <w:rsid w:val="009778AE"/>
    <w:rsid w:val="0098000A"/>
    <w:rsid w:val="00984E81"/>
    <w:rsid w:val="009856BC"/>
    <w:rsid w:val="00992C89"/>
    <w:rsid w:val="00995CAA"/>
    <w:rsid w:val="009B43F0"/>
    <w:rsid w:val="009B7FD3"/>
    <w:rsid w:val="009C08B6"/>
    <w:rsid w:val="009C692A"/>
    <w:rsid w:val="009D058E"/>
    <w:rsid w:val="009D0DC0"/>
    <w:rsid w:val="009D36D5"/>
    <w:rsid w:val="00A02D39"/>
    <w:rsid w:val="00A04F2B"/>
    <w:rsid w:val="00A04FE8"/>
    <w:rsid w:val="00A071F3"/>
    <w:rsid w:val="00A14ABA"/>
    <w:rsid w:val="00A20439"/>
    <w:rsid w:val="00A207B9"/>
    <w:rsid w:val="00A2393A"/>
    <w:rsid w:val="00A241CD"/>
    <w:rsid w:val="00A24CAF"/>
    <w:rsid w:val="00A25887"/>
    <w:rsid w:val="00A26DAE"/>
    <w:rsid w:val="00A30DB3"/>
    <w:rsid w:val="00A30F23"/>
    <w:rsid w:val="00A32478"/>
    <w:rsid w:val="00A32EF0"/>
    <w:rsid w:val="00A37DBD"/>
    <w:rsid w:val="00A400DB"/>
    <w:rsid w:val="00A43028"/>
    <w:rsid w:val="00A46C07"/>
    <w:rsid w:val="00A505B1"/>
    <w:rsid w:val="00A5602B"/>
    <w:rsid w:val="00A740F6"/>
    <w:rsid w:val="00A812AA"/>
    <w:rsid w:val="00A82383"/>
    <w:rsid w:val="00A828E3"/>
    <w:rsid w:val="00AA45D4"/>
    <w:rsid w:val="00AA65D1"/>
    <w:rsid w:val="00AA7CBA"/>
    <w:rsid w:val="00AC128A"/>
    <w:rsid w:val="00AC6390"/>
    <w:rsid w:val="00AD6632"/>
    <w:rsid w:val="00AE1A6D"/>
    <w:rsid w:val="00AE3EA1"/>
    <w:rsid w:val="00AE7524"/>
    <w:rsid w:val="00AF00B5"/>
    <w:rsid w:val="00AF221C"/>
    <w:rsid w:val="00AF6FC0"/>
    <w:rsid w:val="00AF770C"/>
    <w:rsid w:val="00B02F01"/>
    <w:rsid w:val="00B11601"/>
    <w:rsid w:val="00B2212A"/>
    <w:rsid w:val="00B25B2E"/>
    <w:rsid w:val="00B3286B"/>
    <w:rsid w:val="00B51618"/>
    <w:rsid w:val="00B5259B"/>
    <w:rsid w:val="00B66A09"/>
    <w:rsid w:val="00B7140D"/>
    <w:rsid w:val="00B80C52"/>
    <w:rsid w:val="00B81FB6"/>
    <w:rsid w:val="00B82220"/>
    <w:rsid w:val="00B83C39"/>
    <w:rsid w:val="00B875FE"/>
    <w:rsid w:val="00B929E8"/>
    <w:rsid w:val="00BA1C59"/>
    <w:rsid w:val="00BA70EF"/>
    <w:rsid w:val="00BB3835"/>
    <w:rsid w:val="00BC5707"/>
    <w:rsid w:val="00BC6FDE"/>
    <w:rsid w:val="00BE1CD2"/>
    <w:rsid w:val="00BE5B1D"/>
    <w:rsid w:val="00BE67E4"/>
    <w:rsid w:val="00BF11E9"/>
    <w:rsid w:val="00BF1223"/>
    <w:rsid w:val="00BF26EF"/>
    <w:rsid w:val="00BF6A81"/>
    <w:rsid w:val="00BF6B97"/>
    <w:rsid w:val="00C023FF"/>
    <w:rsid w:val="00C11D00"/>
    <w:rsid w:val="00C25D6A"/>
    <w:rsid w:val="00C277B9"/>
    <w:rsid w:val="00C304A4"/>
    <w:rsid w:val="00C33CFE"/>
    <w:rsid w:val="00C36DCE"/>
    <w:rsid w:val="00C406C6"/>
    <w:rsid w:val="00C40804"/>
    <w:rsid w:val="00C41848"/>
    <w:rsid w:val="00C42335"/>
    <w:rsid w:val="00C552A8"/>
    <w:rsid w:val="00C55726"/>
    <w:rsid w:val="00C617EE"/>
    <w:rsid w:val="00C73238"/>
    <w:rsid w:val="00C752FF"/>
    <w:rsid w:val="00C83D11"/>
    <w:rsid w:val="00C9119D"/>
    <w:rsid w:val="00C93094"/>
    <w:rsid w:val="00C93F76"/>
    <w:rsid w:val="00C96D55"/>
    <w:rsid w:val="00CA2352"/>
    <w:rsid w:val="00CA2C21"/>
    <w:rsid w:val="00CA2E3F"/>
    <w:rsid w:val="00CA4AB6"/>
    <w:rsid w:val="00CA4E2C"/>
    <w:rsid w:val="00CB1656"/>
    <w:rsid w:val="00CB2023"/>
    <w:rsid w:val="00CB68FB"/>
    <w:rsid w:val="00CC29C8"/>
    <w:rsid w:val="00CC4F87"/>
    <w:rsid w:val="00CC51C2"/>
    <w:rsid w:val="00CD32C6"/>
    <w:rsid w:val="00CD51C8"/>
    <w:rsid w:val="00CD7FE0"/>
    <w:rsid w:val="00CE246B"/>
    <w:rsid w:val="00CE3D31"/>
    <w:rsid w:val="00CE5562"/>
    <w:rsid w:val="00CE59DF"/>
    <w:rsid w:val="00CE63BA"/>
    <w:rsid w:val="00D007B3"/>
    <w:rsid w:val="00D055FA"/>
    <w:rsid w:val="00D249AC"/>
    <w:rsid w:val="00D37A2B"/>
    <w:rsid w:val="00D462FB"/>
    <w:rsid w:val="00D46954"/>
    <w:rsid w:val="00D521AB"/>
    <w:rsid w:val="00D62FAC"/>
    <w:rsid w:val="00D71F4B"/>
    <w:rsid w:val="00D81801"/>
    <w:rsid w:val="00D83BEC"/>
    <w:rsid w:val="00D83FB3"/>
    <w:rsid w:val="00D861A9"/>
    <w:rsid w:val="00D97559"/>
    <w:rsid w:val="00DA4D5B"/>
    <w:rsid w:val="00DB4D98"/>
    <w:rsid w:val="00DB67CA"/>
    <w:rsid w:val="00DC3129"/>
    <w:rsid w:val="00DC7017"/>
    <w:rsid w:val="00DC7190"/>
    <w:rsid w:val="00DD1F27"/>
    <w:rsid w:val="00DD557B"/>
    <w:rsid w:val="00DD5FBB"/>
    <w:rsid w:val="00DD7E8B"/>
    <w:rsid w:val="00DE02BD"/>
    <w:rsid w:val="00DE67C9"/>
    <w:rsid w:val="00DF7F6B"/>
    <w:rsid w:val="00E021C7"/>
    <w:rsid w:val="00E0610D"/>
    <w:rsid w:val="00E14C5E"/>
    <w:rsid w:val="00E202F8"/>
    <w:rsid w:val="00E231DC"/>
    <w:rsid w:val="00E234E4"/>
    <w:rsid w:val="00E23BD1"/>
    <w:rsid w:val="00E245DE"/>
    <w:rsid w:val="00E2690F"/>
    <w:rsid w:val="00E3639E"/>
    <w:rsid w:val="00E37AC1"/>
    <w:rsid w:val="00E43B41"/>
    <w:rsid w:val="00E441A3"/>
    <w:rsid w:val="00E449B5"/>
    <w:rsid w:val="00E44C34"/>
    <w:rsid w:val="00E54BB6"/>
    <w:rsid w:val="00E54BDA"/>
    <w:rsid w:val="00E557DA"/>
    <w:rsid w:val="00E6524A"/>
    <w:rsid w:val="00E659C7"/>
    <w:rsid w:val="00E779A1"/>
    <w:rsid w:val="00E830EE"/>
    <w:rsid w:val="00E84083"/>
    <w:rsid w:val="00EA3F43"/>
    <w:rsid w:val="00EB034B"/>
    <w:rsid w:val="00EB0B34"/>
    <w:rsid w:val="00EB56FE"/>
    <w:rsid w:val="00EC7094"/>
    <w:rsid w:val="00ED6E96"/>
    <w:rsid w:val="00ED76EA"/>
    <w:rsid w:val="00EE18C2"/>
    <w:rsid w:val="00EF6177"/>
    <w:rsid w:val="00F0612A"/>
    <w:rsid w:val="00F1031C"/>
    <w:rsid w:val="00F15DF4"/>
    <w:rsid w:val="00F21470"/>
    <w:rsid w:val="00F21B6E"/>
    <w:rsid w:val="00F3088C"/>
    <w:rsid w:val="00F3429C"/>
    <w:rsid w:val="00F4177A"/>
    <w:rsid w:val="00F41E8B"/>
    <w:rsid w:val="00F47A7B"/>
    <w:rsid w:val="00F50B7F"/>
    <w:rsid w:val="00F52BC9"/>
    <w:rsid w:val="00F54D17"/>
    <w:rsid w:val="00F573C4"/>
    <w:rsid w:val="00F61C61"/>
    <w:rsid w:val="00F66F4B"/>
    <w:rsid w:val="00F71933"/>
    <w:rsid w:val="00F7364A"/>
    <w:rsid w:val="00F823C9"/>
    <w:rsid w:val="00F82515"/>
    <w:rsid w:val="00F859DF"/>
    <w:rsid w:val="00F91FBB"/>
    <w:rsid w:val="00F92580"/>
    <w:rsid w:val="00F92AAA"/>
    <w:rsid w:val="00F95E8A"/>
    <w:rsid w:val="00FA06AA"/>
    <w:rsid w:val="00FA2AB4"/>
    <w:rsid w:val="00FB2487"/>
    <w:rsid w:val="00FB4DF5"/>
    <w:rsid w:val="00FB5F90"/>
    <w:rsid w:val="00FB64EE"/>
    <w:rsid w:val="00FC0CD3"/>
    <w:rsid w:val="00FC5661"/>
    <w:rsid w:val="00FC5DD8"/>
    <w:rsid w:val="00FD0D2F"/>
    <w:rsid w:val="00FD141F"/>
    <w:rsid w:val="00FD2832"/>
    <w:rsid w:val="00FD47D2"/>
    <w:rsid w:val="00FD6FBE"/>
    <w:rsid w:val="00FD7AC1"/>
    <w:rsid w:val="00FE1261"/>
    <w:rsid w:val="00FE21CC"/>
    <w:rsid w:val="00FE26DE"/>
    <w:rsid w:val="00FE6976"/>
    <w:rsid w:val="00FF0BC7"/>
    <w:rsid w:val="00FF6965"/>
    <w:rsid w:val="00FF761D"/>
    <w:rsid w:val="00FF7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4021"/>
  <w15:chartTrackingRefBased/>
  <w15:docId w15:val="{6DFE177C-3ECF-4220-A350-9A7F670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42"/>
    <w:pPr>
      <w:jc w:val="both"/>
    </w:pPr>
    <w:rPr>
      <w:lang w:val="en-GB"/>
    </w:rPr>
  </w:style>
  <w:style w:type="paragraph" w:styleId="Ttulo1">
    <w:name w:val="heading 1"/>
    <w:basedOn w:val="Normal"/>
    <w:next w:val="Normal"/>
    <w:link w:val="Ttulo1Char"/>
    <w:uiPriority w:val="9"/>
    <w:qFormat/>
    <w:rsid w:val="004264A8"/>
    <w:pPr>
      <w:keepNext/>
      <w:keepLines/>
      <w:numPr>
        <w:numId w:val="2"/>
      </w:numPr>
      <w:spacing w:before="240" w:after="240"/>
      <w:ind w:left="288" w:hanging="288"/>
      <w:outlineLvl w:val="0"/>
    </w:pPr>
    <w:rPr>
      <w:rFonts w:eastAsiaTheme="majorEastAsia" w:cstheme="minorHAnsi"/>
      <w:b/>
    </w:rPr>
  </w:style>
  <w:style w:type="paragraph" w:styleId="Ttulo2">
    <w:name w:val="heading 2"/>
    <w:basedOn w:val="Normal"/>
    <w:next w:val="Normal"/>
    <w:link w:val="Ttulo2Char"/>
    <w:uiPriority w:val="9"/>
    <w:unhideWhenUsed/>
    <w:qFormat/>
    <w:rsid w:val="000859A3"/>
    <w:pPr>
      <w:keepNext/>
      <w:keepLines/>
      <w:numPr>
        <w:numId w:val="4"/>
      </w:numPr>
      <w:spacing w:before="240" w:after="120"/>
      <w:ind w:left="576" w:hanging="288"/>
      <w:outlineLvl w:val="1"/>
    </w:pPr>
    <w:rPr>
      <w:rFonts w:eastAsiaTheme="majorEastAsia" w:cstheme="minorHAnsi"/>
      <w:b/>
      <w:szCs w:val="26"/>
    </w:rPr>
  </w:style>
  <w:style w:type="paragraph" w:styleId="Ttulo3">
    <w:name w:val="heading 3"/>
    <w:basedOn w:val="Normal"/>
    <w:next w:val="Normal"/>
    <w:link w:val="Ttulo3Char"/>
    <w:uiPriority w:val="9"/>
    <w:unhideWhenUsed/>
    <w:qFormat/>
    <w:rsid w:val="0067440B"/>
    <w:pPr>
      <w:keepNext/>
      <w:keepLines/>
      <w:spacing w:before="240" w:after="120"/>
      <w:outlineLvl w:val="2"/>
    </w:pPr>
    <w:rPr>
      <w:rFonts w:eastAsiaTheme="majorEastAsia" w:cstheme="majorBidi"/>
      <w:b/>
      <w: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7642"/>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87642"/>
  </w:style>
  <w:style w:type="paragraph" w:styleId="Rodap">
    <w:name w:val="footer"/>
    <w:basedOn w:val="Normal"/>
    <w:link w:val="RodapChar"/>
    <w:uiPriority w:val="99"/>
    <w:unhideWhenUsed/>
    <w:rsid w:val="00087642"/>
    <w:pPr>
      <w:tabs>
        <w:tab w:val="center" w:pos="4513"/>
        <w:tab w:val="right" w:pos="9026"/>
      </w:tabs>
      <w:spacing w:after="0" w:line="240" w:lineRule="auto"/>
    </w:pPr>
  </w:style>
  <w:style w:type="character" w:customStyle="1" w:styleId="RodapChar">
    <w:name w:val="Rodapé Char"/>
    <w:basedOn w:val="Fontepargpadro"/>
    <w:link w:val="Rodap"/>
    <w:uiPriority w:val="99"/>
    <w:rsid w:val="00087642"/>
  </w:style>
  <w:style w:type="paragraph" w:styleId="Ttulo">
    <w:name w:val="Title"/>
    <w:basedOn w:val="Normal"/>
    <w:next w:val="Normal"/>
    <w:link w:val="TtuloChar"/>
    <w:uiPriority w:val="10"/>
    <w:qFormat/>
    <w:rsid w:val="007566AE"/>
    <w:pPr>
      <w:spacing w:after="120" w:line="240" w:lineRule="auto"/>
      <w:jc w:val="center"/>
    </w:pPr>
    <w:rPr>
      <w:rFonts w:eastAsiaTheme="majorEastAsia" w:cstheme="minorHAnsi"/>
      <w:b/>
      <w:spacing w:val="-10"/>
      <w:kern w:val="28"/>
      <w:sz w:val="28"/>
      <w:szCs w:val="28"/>
    </w:rPr>
  </w:style>
  <w:style w:type="character" w:customStyle="1" w:styleId="TtuloChar">
    <w:name w:val="Título Char"/>
    <w:basedOn w:val="Fontepargpadro"/>
    <w:link w:val="Ttulo"/>
    <w:uiPriority w:val="10"/>
    <w:rsid w:val="007566AE"/>
    <w:rPr>
      <w:rFonts w:eastAsiaTheme="majorEastAsia" w:cstheme="minorHAnsi"/>
      <w:b/>
      <w:spacing w:val="-10"/>
      <w:kern w:val="28"/>
      <w:sz w:val="28"/>
      <w:szCs w:val="28"/>
      <w:lang w:val="en-GB"/>
    </w:rPr>
  </w:style>
  <w:style w:type="paragraph" w:styleId="PargrafodaLista">
    <w:name w:val="List Paragraph"/>
    <w:basedOn w:val="Normal"/>
    <w:uiPriority w:val="34"/>
    <w:qFormat/>
    <w:rsid w:val="00087642"/>
    <w:pPr>
      <w:ind w:left="720"/>
      <w:contextualSpacing/>
    </w:pPr>
  </w:style>
  <w:style w:type="character" w:customStyle="1" w:styleId="Ttulo1Char">
    <w:name w:val="Título 1 Char"/>
    <w:basedOn w:val="Fontepargpadro"/>
    <w:link w:val="Ttulo1"/>
    <w:uiPriority w:val="9"/>
    <w:rsid w:val="004264A8"/>
    <w:rPr>
      <w:rFonts w:eastAsiaTheme="majorEastAsia" w:cstheme="minorHAnsi"/>
      <w:b/>
      <w:lang w:val="en-GB"/>
    </w:rPr>
  </w:style>
  <w:style w:type="character" w:customStyle="1" w:styleId="Ttulo2Char">
    <w:name w:val="Título 2 Char"/>
    <w:basedOn w:val="Fontepargpadro"/>
    <w:link w:val="Ttulo2"/>
    <w:uiPriority w:val="9"/>
    <w:rsid w:val="000859A3"/>
    <w:rPr>
      <w:rFonts w:eastAsiaTheme="majorEastAsia" w:cstheme="minorHAnsi"/>
      <w:b/>
      <w:szCs w:val="26"/>
      <w:lang w:val="en-GB"/>
    </w:rPr>
  </w:style>
  <w:style w:type="character" w:customStyle="1" w:styleId="Ttulo3Char">
    <w:name w:val="Título 3 Char"/>
    <w:basedOn w:val="Fontepargpadro"/>
    <w:link w:val="Ttulo3"/>
    <w:uiPriority w:val="9"/>
    <w:rsid w:val="0067440B"/>
    <w:rPr>
      <w:rFonts w:eastAsiaTheme="majorEastAsia" w:cstheme="majorBidi"/>
      <w:b/>
      <w:i/>
      <w:szCs w:val="24"/>
      <w:lang w:val="en-GB"/>
    </w:rPr>
  </w:style>
  <w:style w:type="table" w:styleId="Tabelacomgrade">
    <w:name w:val="Table Grid"/>
    <w:basedOn w:val="Tabelanormal"/>
    <w:uiPriority w:val="59"/>
    <w:rsid w:val="0008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87642"/>
    <w:rPr>
      <w:color w:val="0563C1" w:themeColor="hyperlink"/>
      <w:u w:val="single"/>
    </w:rPr>
  </w:style>
  <w:style w:type="paragraph" w:styleId="Citao">
    <w:name w:val="Quote"/>
    <w:basedOn w:val="Normal"/>
    <w:next w:val="Normal"/>
    <w:link w:val="CitaoChar"/>
    <w:uiPriority w:val="29"/>
    <w:qFormat/>
    <w:rsid w:val="00087642"/>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087642"/>
    <w:rPr>
      <w:i/>
      <w:iCs/>
      <w:color w:val="404040" w:themeColor="text1" w:themeTint="BF"/>
      <w:lang w:val="en-GB"/>
    </w:rPr>
  </w:style>
  <w:style w:type="character" w:styleId="RefernciaSutil">
    <w:name w:val="Subtle Reference"/>
    <w:basedOn w:val="Fontepargpadro"/>
    <w:uiPriority w:val="31"/>
    <w:qFormat/>
    <w:rsid w:val="00BE1CD2"/>
    <w:rPr>
      <w:smallCaps/>
      <w:color w:val="5A5A5A" w:themeColor="text1" w:themeTint="A5"/>
    </w:rPr>
  </w:style>
  <w:style w:type="paragraph" w:styleId="Subttulo">
    <w:name w:val="Subtitle"/>
    <w:basedOn w:val="Normal"/>
    <w:next w:val="Normal"/>
    <w:link w:val="SubttuloChar"/>
    <w:uiPriority w:val="11"/>
    <w:qFormat/>
    <w:rsid w:val="007566AE"/>
    <w:pPr>
      <w:numPr>
        <w:ilvl w:val="1"/>
      </w:numPr>
      <w:spacing w:after="360"/>
      <w:jc w:val="cente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7566AE"/>
    <w:rPr>
      <w:rFonts w:eastAsiaTheme="minorEastAsia"/>
      <w:color w:val="5A5A5A" w:themeColor="text1" w:themeTint="A5"/>
      <w:spacing w:val="15"/>
      <w:lang w:val="en-GB"/>
    </w:rPr>
  </w:style>
  <w:style w:type="paragraph" w:styleId="CabealhodoSumrio">
    <w:name w:val="TOC Heading"/>
    <w:basedOn w:val="Ttulo1"/>
    <w:next w:val="Normal"/>
    <w:uiPriority w:val="39"/>
    <w:unhideWhenUsed/>
    <w:qFormat/>
    <w:rsid w:val="00260C3F"/>
    <w:pPr>
      <w:numPr>
        <w:numId w:val="0"/>
      </w:numPr>
      <w:spacing w:after="0"/>
      <w:jc w:val="left"/>
      <w:outlineLvl w:val="9"/>
    </w:pPr>
    <w:rPr>
      <w:rFonts w:asciiTheme="majorHAnsi" w:hAnsiTheme="majorHAnsi" w:cstheme="majorBidi"/>
      <w:b w:val="0"/>
      <w:smallCaps/>
      <w:color w:val="2E74B5" w:themeColor="accent1" w:themeShade="BF"/>
      <w:sz w:val="32"/>
      <w:lang w:val="en-US"/>
    </w:rPr>
  </w:style>
  <w:style w:type="paragraph" w:styleId="Sumrio1">
    <w:name w:val="toc 1"/>
    <w:basedOn w:val="Normal"/>
    <w:next w:val="Normal"/>
    <w:autoRedefine/>
    <w:uiPriority w:val="39"/>
    <w:unhideWhenUsed/>
    <w:rsid w:val="00260C3F"/>
    <w:pPr>
      <w:spacing w:after="100"/>
    </w:pPr>
  </w:style>
  <w:style w:type="paragraph" w:styleId="Sumrio2">
    <w:name w:val="toc 2"/>
    <w:basedOn w:val="Normal"/>
    <w:next w:val="Normal"/>
    <w:autoRedefine/>
    <w:uiPriority w:val="39"/>
    <w:unhideWhenUsed/>
    <w:rsid w:val="00260C3F"/>
    <w:pPr>
      <w:spacing w:after="100"/>
      <w:ind w:left="220"/>
    </w:pPr>
  </w:style>
  <w:style w:type="paragraph" w:styleId="Sumrio3">
    <w:name w:val="toc 3"/>
    <w:basedOn w:val="Normal"/>
    <w:next w:val="Normal"/>
    <w:autoRedefine/>
    <w:uiPriority w:val="39"/>
    <w:unhideWhenUsed/>
    <w:rsid w:val="00260C3F"/>
    <w:pPr>
      <w:spacing w:after="100"/>
      <w:ind w:left="440"/>
    </w:pPr>
  </w:style>
  <w:style w:type="character" w:styleId="Refdecomentrio">
    <w:name w:val="annotation reference"/>
    <w:basedOn w:val="Fontepargpadro"/>
    <w:uiPriority w:val="99"/>
    <w:semiHidden/>
    <w:unhideWhenUsed/>
    <w:rsid w:val="007811FC"/>
    <w:rPr>
      <w:sz w:val="16"/>
      <w:szCs w:val="16"/>
    </w:rPr>
  </w:style>
  <w:style w:type="paragraph" w:styleId="Textodecomentrio">
    <w:name w:val="annotation text"/>
    <w:basedOn w:val="Normal"/>
    <w:link w:val="TextodecomentrioChar"/>
    <w:uiPriority w:val="99"/>
    <w:unhideWhenUsed/>
    <w:rsid w:val="007811FC"/>
    <w:pPr>
      <w:spacing w:after="0" w:line="240" w:lineRule="auto"/>
      <w:jc w:val="left"/>
    </w:pPr>
    <w:rPr>
      <w:sz w:val="20"/>
      <w:szCs w:val="20"/>
    </w:rPr>
  </w:style>
  <w:style w:type="character" w:customStyle="1" w:styleId="TextodecomentrioChar">
    <w:name w:val="Texto de comentário Char"/>
    <w:basedOn w:val="Fontepargpadro"/>
    <w:link w:val="Textodecomentrio"/>
    <w:uiPriority w:val="99"/>
    <w:rsid w:val="007811FC"/>
    <w:rPr>
      <w:sz w:val="20"/>
      <w:szCs w:val="20"/>
      <w:lang w:val="en-GB"/>
    </w:rPr>
  </w:style>
  <w:style w:type="paragraph" w:styleId="Textodenotadefim">
    <w:name w:val="endnote text"/>
    <w:basedOn w:val="Normal"/>
    <w:link w:val="TextodenotadefimChar"/>
    <w:uiPriority w:val="99"/>
    <w:unhideWhenUsed/>
    <w:rsid w:val="007811FC"/>
    <w:pPr>
      <w:spacing w:after="0" w:line="240" w:lineRule="auto"/>
      <w:jc w:val="left"/>
    </w:pPr>
    <w:rPr>
      <w:rFonts w:ascii="Times New Roman" w:hAnsi="Times New Roman" w:cs="Times New Roman"/>
      <w:sz w:val="20"/>
      <w:szCs w:val="20"/>
      <w:lang w:val="en-US"/>
    </w:rPr>
  </w:style>
  <w:style w:type="character" w:customStyle="1" w:styleId="TextodenotadefimChar">
    <w:name w:val="Texto de nota de fim Char"/>
    <w:basedOn w:val="Fontepargpadro"/>
    <w:link w:val="Textodenotadefim"/>
    <w:uiPriority w:val="99"/>
    <w:rsid w:val="007811FC"/>
    <w:rPr>
      <w:rFonts w:ascii="Times New Roman" w:hAnsi="Times New Roman" w:cs="Times New Roman"/>
      <w:sz w:val="20"/>
      <w:szCs w:val="20"/>
      <w:lang w:val="en-US"/>
    </w:rPr>
  </w:style>
  <w:style w:type="paragraph" w:styleId="Textodenotaderodap">
    <w:name w:val="footnote text"/>
    <w:aliases w:val="ft,Footnote Text Char Char,ft Char,FA,FA Fußnotentext,fn,Footnotetext,ftx,Footnotetext1,Footnotetext2,ftx1,Footnotetext3,ftx2,Footnotetext4,ftx3,Footnotetext5,ftx4,Footnotetext6,Footnotetext7,ftx5,Footnotetext8,ftx11"/>
    <w:basedOn w:val="Normal"/>
    <w:link w:val="TextodenotaderodapChar"/>
    <w:uiPriority w:val="99"/>
    <w:unhideWhenUsed/>
    <w:rsid w:val="007E20FE"/>
    <w:pPr>
      <w:spacing w:after="120" w:line="240" w:lineRule="auto"/>
      <w:jc w:val="left"/>
    </w:pPr>
    <w:rPr>
      <w:sz w:val="20"/>
      <w:szCs w:val="20"/>
    </w:rPr>
  </w:style>
  <w:style w:type="character" w:customStyle="1" w:styleId="TextodenotaderodapChar">
    <w:name w:val="Texto de nota de rodapé Char"/>
    <w:aliases w:val="ft Char1,Footnote Text Char Char Char,ft Char Char,FA Char,FA Fußnotentext Char,fn Char,Footnotetext Char,ftx Char,Footnotetext1 Char,Footnotetext2 Char,ftx1 Char,Footnotetext3 Char,ftx2 Char,Footnotetext4 Char,ftx3 Char"/>
    <w:basedOn w:val="Fontepargpadro"/>
    <w:link w:val="Textodenotaderodap"/>
    <w:uiPriority w:val="99"/>
    <w:rsid w:val="007E20FE"/>
    <w:rPr>
      <w:sz w:val="20"/>
      <w:szCs w:val="20"/>
      <w:lang w:val="en-GB"/>
    </w:rPr>
  </w:style>
  <w:style w:type="character" w:styleId="Refdenotadefim">
    <w:name w:val="endnote reference"/>
    <w:basedOn w:val="Fontepargpadro"/>
    <w:uiPriority w:val="99"/>
    <w:semiHidden/>
    <w:unhideWhenUsed/>
    <w:rsid w:val="007811FC"/>
    <w:rPr>
      <w:vertAlign w:val="superscript"/>
    </w:rPr>
  </w:style>
  <w:style w:type="character" w:styleId="Refdenotaderodap">
    <w:name w:val="footnote reference"/>
    <w:basedOn w:val="Fontepargpadro"/>
    <w:uiPriority w:val="99"/>
    <w:semiHidden/>
    <w:unhideWhenUsed/>
    <w:rsid w:val="0019614B"/>
    <w:rPr>
      <w:vertAlign w:val="superscript"/>
    </w:rPr>
  </w:style>
  <w:style w:type="paragraph" w:customStyle="1" w:styleId="footnote">
    <w:name w:val="footnote"/>
    <w:basedOn w:val="Ttulo1"/>
    <w:link w:val="footnoteChar"/>
    <w:uiPriority w:val="9"/>
    <w:qFormat/>
    <w:rsid w:val="0019614B"/>
    <w:pPr>
      <w:keepLines w:val="0"/>
      <w:numPr>
        <w:numId w:val="0"/>
      </w:numPr>
      <w:shd w:val="clear" w:color="auto" w:fill="FAFAFA"/>
      <w:spacing w:before="0" w:after="120" w:line="240" w:lineRule="auto"/>
      <w:jc w:val="left"/>
    </w:pPr>
    <w:rPr>
      <w:rFonts w:ascii="Calibri" w:hAnsi="Calibri" w:cs="Calibri"/>
      <w:b w:val="0"/>
      <w:bCs/>
      <w:sz w:val="16"/>
      <w:szCs w:val="16"/>
      <w:lang w:val="en-US"/>
    </w:rPr>
  </w:style>
  <w:style w:type="character" w:customStyle="1" w:styleId="footnoteChar">
    <w:name w:val="footnote Char"/>
    <w:basedOn w:val="Ttulo1Char"/>
    <w:link w:val="footnote"/>
    <w:uiPriority w:val="9"/>
    <w:rsid w:val="0019614B"/>
    <w:rPr>
      <w:rFonts w:ascii="Calibri" w:eastAsiaTheme="majorEastAsia" w:hAnsi="Calibri" w:cs="Calibri"/>
      <w:b w:val="0"/>
      <w:bCs/>
      <w:sz w:val="16"/>
      <w:szCs w:val="16"/>
      <w:shd w:val="clear" w:color="auto" w:fill="FAFAFA"/>
      <w:lang w:val="en-US"/>
    </w:rPr>
  </w:style>
  <w:style w:type="paragraph" w:styleId="NormalWeb">
    <w:name w:val="Normal (Web)"/>
    <w:basedOn w:val="Normal"/>
    <w:uiPriority w:val="99"/>
    <w:semiHidden/>
    <w:unhideWhenUsed/>
    <w:rsid w:val="00A740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MenoPendente">
    <w:name w:val="Unresolved Mention"/>
    <w:basedOn w:val="Fontepargpadro"/>
    <w:uiPriority w:val="99"/>
    <w:semiHidden/>
    <w:unhideWhenUsed/>
    <w:rsid w:val="0010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06960">
      <w:bodyDiv w:val="1"/>
      <w:marLeft w:val="0"/>
      <w:marRight w:val="0"/>
      <w:marTop w:val="0"/>
      <w:marBottom w:val="0"/>
      <w:divBdr>
        <w:top w:val="none" w:sz="0" w:space="0" w:color="auto"/>
        <w:left w:val="none" w:sz="0" w:space="0" w:color="auto"/>
        <w:bottom w:val="none" w:sz="0" w:space="0" w:color="auto"/>
        <w:right w:val="none" w:sz="0" w:space="0" w:color="auto"/>
      </w:divBdr>
    </w:div>
    <w:div w:id="909193373">
      <w:bodyDiv w:val="1"/>
      <w:marLeft w:val="0"/>
      <w:marRight w:val="0"/>
      <w:marTop w:val="0"/>
      <w:marBottom w:val="0"/>
      <w:divBdr>
        <w:top w:val="none" w:sz="0" w:space="0" w:color="auto"/>
        <w:left w:val="none" w:sz="0" w:space="0" w:color="auto"/>
        <w:bottom w:val="none" w:sz="0" w:space="0" w:color="auto"/>
        <w:right w:val="none" w:sz="0" w:space="0" w:color="auto"/>
      </w:divBdr>
    </w:div>
    <w:div w:id="13064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3D52-2AFB-4F07-9526-2BE00F87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5658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Carloni, Giovanna</dc:creator>
  <cp:keywords/>
  <dc:description/>
  <cp:lastModifiedBy>Felipe Luiz da Silva</cp:lastModifiedBy>
  <cp:revision>2</cp:revision>
  <dcterms:created xsi:type="dcterms:W3CDTF">2024-09-04T19:34:00Z</dcterms:created>
  <dcterms:modified xsi:type="dcterms:W3CDTF">2024-09-04T19:34:00Z</dcterms:modified>
</cp:coreProperties>
</file>