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25C" w:rsidRDefault="004D625C" w:rsidP="004D625C">
      <w:pPr>
        <w:rPr>
          <w:lang w:val="pt-BR"/>
        </w:rPr>
      </w:pPr>
    </w:p>
    <w:p w:rsidR="00ED461E" w:rsidRDefault="004D625C" w:rsidP="00D9705F">
      <w:pPr>
        <w:spacing w:before="360" w:after="600"/>
        <w:jc w:val="center"/>
        <w:rPr>
          <w:b/>
          <w:sz w:val="32"/>
          <w:szCs w:val="32"/>
          <w:lang w:val="pt-BR"/>
        </w:rPr>
      </w:pPr>
      <w:r w:rsidRPr="001A203B">
        <w:rPr>
          <w:b/>
          <w:sz w:val="32"/>
          <w:szCs w:val="32"/>
          <w:lang w:val="pt-BR"/>
        </w:rPr>
        <w:t>REQUERIMENTO Nº</w:t>
      </w:r>
      <w:r w:rsidR="001A203B">
        <w:rPr>
          <w:b/>
          <w:sz w:val="32"/>
          <w:szCs w:val="32"/>
          <w:lang w:val="pt-BR"/>
        </w:rPr>
        <w:t xml:space="preserve">  </w:t>
      </w:r>
      <w:r w:rsidRPr="004D625C">
        <w:rPr>
          <w:b/>
          <w:sz w:val="32"/>
          <w:szCs w:val="32"/>
          <w:lang w:val="pt-BR"/>
        </w:rPr>
        <w:t xml:space="preserve"> </w:t>
      </w:r>
      <w:r w:rsidR="00ED461E">
        <w:rPr>
          <w:b/>
          <w:sz w:val="32"/>
          <w:szCs w:val="32"/>
          <w:lang w:val="pt-BR"/>
        </w:rPr>
        <w:t xml:space="preserve"> </w:t>
      </w:r>
      <w:r w:rsidRPr="004D625C">
        <w:rPr>
          <w:b/>
          <w:sz w:val="32"/>
          <w:szCs w:val="32"/>
          <w:lang w:val="pt-BR"/>
        </w:rPr>
        <w:t xml:space="preserve">  </w:t>
      </w:r>
      <w:r w:rsidR="001A203B">
        <w:rPr>
          <w:b/>
          <w:sz w:val="32"/>
          <w:szCs w:val="32"/>
          <w:lang w:val="pt-BR"/>
        </w:rPr>
        <w:t>, DE 201</w:t>
      </w:r>
      <w:r w:rsidR="003F0527">
        <w:rPr>
          <w:b/>
          <w:sz w:val="32"/>
          <w:szCs w:val="32"/>
          <w:lang w:val="pt-BR"/>
        </w:rPr>
        <w:t>6</w:t>
      </w:r>
      <w:r w:rsidR="00C9547C">
        <w:rPr>
          <w:b/>
          <w:sz w:val="32"/>
          <w:szCs w:val="32"/>
          <w:lang w:val="pt-BR"/>
        </w:rPr>
        <w:t xml:space="preserve"> - CRE</w:t>
      </w:r>
    </w:p>
    <w:p w:rsidR="00D05786" w:rsidRDefault="00ED461E" w:rsidP="00ED461E">
      <w:pPr>
        <w:spacing w:before="360" w:after="360"/>
        <w:jc w:val="both"/>
        <w:rPr>
          <w:sz w:val="28"/>
          <w:szCs w:val="28"/>
          <w:lang w:val="pt-BR"/>
        </w:rPr>
      </w:pPr>
      <w:r>
        <w:rPr>
          <w:b/>
          <w:sz w:val="32"/>
          <w:szCs w:val="32"/>
          <w:lang w:val="pt-BR"/>
        </w:rPr>
        <w:tab/>
      </w:r>
      <w:r w:rsidR="00293708">
        <w:rPr>
          <w:b/>
          <w:sz w:val="32"/>
          <w:szCs w:val="32"/>
          <w:lang w:val="pt-BR"/>
        </w:rPr>
        <w:t xml:space="preserve"> </w:t>
      </w:r>
      <w:r w:rsidR="00293708">
        <w:rPr>
          <w:b/>
          <w:sz w:val="32"/>
          <w:szCs w:val="32"/>
          <w:lang w:val="pt-BR"/>
        </w:rPr>
        <w:tab/>
      </w:r>
      <w:r w:rsidR="004D625C" w:rsidRPr="00257C06">
        <w:rPr>
          <w:rFonts w:eastAsia="Times New Roman"/>
          <w:sz w:val="28"/>
          <w:szCs w:val="28"/>
          <w:bdr w:val="none" w:sz="0" w:space="0" w:color="auto"/>
          <w:lang w:val="pt-BR" w:eastAsia="pt-BR"/>
        </w:rPr>
        <w:t xml:space="preserve">Requeiro, </w:t>
      </w:r>
      <w:r w:rsidRPr="00257C06">
        <w:rPr>
          <w:rFonts w:eastAsia="Times New Roman"/>
          <w:sz w:val="28"/>
          <w:szCs w:val="28"/>
          <w:bdr w:val="none" w:sz="0" w:space="0" w:color="auto"/>
          <w:lang w:val="pt-BR" w:eastAsia="pt-BR"/>
        </w:rPr>
        <w:t>com fundamento no art. 50, §2º, da Constituição Federal de 1988, e nos termos do art. 216, do R</w:t>
      </w:r>
      <w:r w:rsidR="00431AD9">
        <w:rPr>
          <w:rFonts w:eastAsia="Times New Roman"/>
          <w:sz w:val="28"/>
          <w:szCs w:val="28"/>
          <w:bdr w:val="none" w:sz="0" w:space="0" w:color="auto"/>
          <w:lang w:val="pt-BR" w:eastAsia="pt-BR"/>
        </w:rPr>
        <w:t>egimento Interno do Senado Federal</w:t>
      </w:r>
      <w:r w:rsidR="004D625C" w:rsidRPr="00257C06">
        <w:rPr>
          <w:rFonts w:eastAsia="Times New Roman"/>
          <w:sz w:val="28"/>
          <w:szCs w:val="28"/>
          <w:bdr w:val="none" w:sz="0" w:space="0" w:color="auto"/>
          <w:lang w:val="pt-BR" w:eastAsia="pt-BR"/>
        </w:rPr>
        <w:t xml:space="preserve">, sejam </w:t>
      </w:r>
      <w:r w:rsidR="00004E5E">
        <w:rPr>
          <w:rFonts w:eastAsia="Times New Roman"/>
          <w:sz w:val="28"/>
          <w:szCs w:val="28"/>
          <w:bdr w:val="none" w:sz="0" w:space="0" w:color="auto"/>
          <w:lang w:val="pt-BR" w:eastAsia="pt-BR"/>
        </w:rPr>
        <w:t>solicitad</w:t>
      </w:r>
      <w:r w:rsidR="00431AD9">
        <w:rPr>
          <w:rFonts w:eastAsia="Times New Roman"/>
          <w:sz w:val="28"/>
          <w:szCs w:val="28"/>
          <w:bdr w:val="none" w:sz="0" w:space="0" w:color="auto"/>
          <w:lang w:val="pt-BR" w:eastAsia="pt-BR"/>
        </w:rPr>
        <w:t>as</w:t>
      </w:r>
      <w:r w:rsidR="004D625C" w:rsidRPr="00257C06">
        <w:rPr>
          <w:rFonts w:eastAsia="Times New Roman"/>
          <w:sz w:val="28"/>
          <w:szCs w:val="28"/>
          <w:bdr w:val="none" w:sz="0" w:space="0" w:color="auto"/>
          <w:lang w:val="pt-BR" w:eastAsia="pt-BR"/>
        </w:rPr>
        <w:t xml:space="preserve"> </w:t>
      </w:r>
      <w:r w:rsidR="00431AD9">
        <w:rPr>
          <w:rFonts w:eastAsia="Times New Roman"/>
          <w:sz w:val="28"/>
          <w:szCs w:val="28"/>
          <w:bdr w:val="none" w:sz="0" w:space="0" w:color="auto"/>
          <w:lang w:val="pt-BR" w:eastAsia="pt-BR"/>
        </w:rPr>
        <w:t xml:space="preserve">ao </w:t>
      </w:r>
      <w:r w:rsidR="00257C06" w:rsidRPr="00257C06">
        <w:rPr>
          <w:rFonts w:eastAsia="Times New Roman"/>
          <w:sz w:val="28"/>
          <w:szCs w:val="28"/>
          <w:bdr w:val="none" w:sz="0" w:space="0" w:color="auto"/>
          <w:lang w:val="pt-BR" w:eastAsia="pt-BR"/>
        </w:rPr>
        <w:t xml:space="preserve">Sr. </w:t>
      </w:r>
      <w:r w:rsidR="00F26791">
        <w:rPr>
          <w:sz w:val="28"/>
          <w:szCs w:val="28"/>
          <w:lang w:val="pt-BR"/>
        </w:rPr>
        <w:t>Nelson Henrique Barbosa Filho</w:t>
      </w:r>
      <w:r w:rsidR="00257C06" w:rsidRPr="00257C06">
        <w:rPr>
          <w:sz w:val="28"/>
          <w:szCs w:val="28"/>
          <w:lang w:val="pt-BR"/>
        </w:rPr>
        <w:t xml:space="preserve">, Ministro </w:t>
      </w:r>
      <w:r w:rsidR="00F26791">
        <w:rPr>
          <w:sz w:val="28"/>
          <w:szCs w:val="28"/>
          <w:lang w:val="pt-BR"/>
        </w:rPr>
        <w:t>da Fazenda</w:t>
      </w:r>
      <w:r w:rsidR="00431AD9">
        <w:rPr>
          <w:sz w:val="28"/>
          <w:szCs w:val="28"/>
          <w:lang w:val="pt-BR"/>
        </w:rPr>
        <w:t>, informações</w:t>
      </w:r>
      <w:r w:rsidR="00D05786">
        <w:rPr>
          <w:sz w:val="28"/>
          <w:szCs w:val="28"/>
          <w:lang w:val="pt-BR"/>
        </w:rPr>
        <w:t xml:space="preserve"> </w:t>
      </w:r>
      <w:r w:rsidR="009F18AB" w:rsidRPr="009F18AB">
        <w:rPr>
          <w:sz w:val="28"/>
          <w:szCs w:val="28"/>
          <w:lang w:val="pt-BR"/>
        </w:rPr>
        <w:t>referente</w:t>
      </w:r>
      <w:r w:rsidR="009F18AB">
        <w:rPr>
          <w:sz w:val="28"/>
          <w:szCs w:val="28"/>
          <w:lang w:val="pt-BR"/>
        </w:rPr>
        <w:t>s</w:t>
      </w:r>
      <w:r w:rsidR="009F18AB" w:rsidRPr="009F18AB">
        <w:rPr>
          <w:sz w:val="28"/>
          <w:szCs w:val="28"/>
          <w:lang w:val="pt-BR"/>
        </w:rPr>
        <w:t xml:space="preserve"> ao </w:t>
      </w:r>
      <w:r w:rsidR="00D05786">
        <w:rPr>
          <w:sz w:val="28"/>
          <w:szCs w:val="28"/>
          <w:lang w:val="pt-BR"/>
        </w:rPr>
        <w:t>Fundo de Garantia à Exportação - FGE</w:t>
      </w:r>
      <w:r w:rsidR="009F18AB">
        <w:rPr>
          <w:sz w:val="28"/>
          <w:szCs w:val="28"/>
          <w:lang w:val="pt-BR"/>
        </w:rPr>
        <w:t xml:space="preserve">, </w:t>
      </w:r>
      <w:r w:rsidR="00F26791">
        <w:rPr>
          <w:sz w:val="28"/>
          <w:szCs w:val="28"/>
          <w:lang w:val="pt-BR"/>
        </w:rPr>
        <w:t xml:space="preserve">vinculado ao </w:t>
      </w:r>
      <w:r w:rsidR="00F07549">
        <w:rPr>
          <w:sz w:val="28"/>
          <w:szCs w:val="28"/>
          <w:lang w:val="pt-BR"/>
        </w:rPr>
        <w:t xml:space="preserve">respectivo </w:t>
      </w:r>
      <w:r w:rsidR="00F26791">
        <w:rPr>
          <w:sz w:val="28"/>
          <w:szCs w:val="28"/>
          <w:lang w:val="pt-BR"/>
        </w:rPr>
        <w:t>Ministério e cuja gestão está a cargo do Banco Nacional do Desenvolvimento (BNDES</w:t>
      </w:r>
      <w:r w:rsidR="00C9547C">
        <w:rPr>
          <w:sz w:val="28"/>
          <w:szCs w:val="28"/>
          <w:lang w:val="pt-BR"/>
        </w:rPr>
        <w:t>), a</w:t>
      </w:r>
      <w:r w:rsidR="00D05786">
        <w:rPr>
          <w:sz w:val="28"/>
          <w:szCs w:val="28"/>
          <w:lang w:val="pt-BR"/>
        </w:rPr>
        <w:t xml:space="preserve"> fim de subsidiar análises sobre o tema em questão. </w:t>
      </w:r>
    </w:p>
    <w:p w:rsidR="004D625C" w:rsidRDefault="00D05786" w:rsidP="00ED461E">
      <w:pPr>
        <w:spacing w:before="360" w:after="36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Informações requeridas:</w:t>
      </w:r>
    </w:p>
    <w:p w:rsidR="00D05786" w:rsidRPr="00D05786" w:rsidRDefault="00D05786" w:rsidP="00D05786">
      <w:pPr>
        <w:spacing w:before="360" w:after="360"/>
        <w:jc w:val="both"/>
        <w:rPr>
          <w:sz w:val="28"/>
          <w:szCs w:val="28"/>
          <w:lang w:val="pt-BR"/>
        </w:rPr>
      </w:pPr>
      <w:r w:rsidRPr="00D05786">
        <w:rPr>
          <w:sz w:val="28"/>
          <w:szCs w:val="28"/>
          <w:lang w:val="pt-BR"/>
        </w:rPr>
        <w:t>i)</w:t>
      </w:r>
      <w:r w:rsidRPr="00D05786">
        <w:rPr>
          <w:sz w:val="28"/>
          <w:szCs w:val="28"/>
          <w:lang w:val="pt-BR"/>
        </w:rPr>
        <w:tab/>
        <w:t>as atas de todas as reuniões deliberativas do Fundo de Garantia à Exportação – FGE entre 2011-2015, a fim de analisar como as garantias à exportação estão sendo feitas;</w:t>
      </w:r>
    </w:p>
    <w:p w:rsidR="00D05786" w:rsidRDefault="00D05786" w:rsidP="00D05786">
      <w:pPr>
        <w:spacing w:before="360" w:after="360"/>
        <w:jc w:val="both"/>
        <w:rPr>
          <w:sz w:val="28"/>
          <w:szCs w:val="28"/>
          <w:lang w:val="pt-BR"/>
        </w:rPr>
      </w:pPr>
      <w:r w:rsidRPr="00D05786">
        <w:rPr>
          <w:sz w:val="28"/>
          <w:szCs w:val="28"/>
          <w:lang w:val="pt-BR"/>
        </w:rPr>
        <w:t>ii)</w:t>
      </w:r>
      <w:r w:rsidRPr="00D05786">
        <w:rPr>
          <w:sz w:val="28"/>
          <w:szCs w:val="28"/>
          <w:lang w:val="pt-BR"/>
        </w:rPr>
        <w:tab/>
        <w:t>uma planilha resumo com todas os projetos garantidos, o valor da garantia, o tipo da garantia, local de execução do projeto, prazos, bases técnicas para a decisão da garantia, além de outras informações relevantes.</w:t>
      </w:r>
    </w:p>
    <w:p w:rsidR="00E93851" w:rsidRPr="00ED461E" w:rsidRDefault="00E93851" w:rsidP="00E93851">
      <w:pPr>
        <w:spacing w:before="480" w:after="480"/>
        <w:jc w:val="center"/>
        <w:rPr>
          <w:b/>
          <w:sz w:val="28"/>
          <w:szCs w:val="28"/>
          <w:lang w:val="pt-BR"/>
        </w:rPr>
      </w:pPr>
      <w:r w:rsidRPr="00ED461E">
        <w:rPr>
          <w:b/>
          <w:sz w:val="28"/>
          <w:szCs w:val="28"/>
          <w:lang w:val="pt-BR"/>
        </w:rPr>
        <w:t>JUSTIFICAÇÃO</w:t>
      </w:r>
    </w:p>
    <w:p w:rsidR="00125BE2" w:rsidRPr="00125BE2" w:rsidRDefault="00293708" w:rsidP="00125BE2">
      <w:pPr>
        <w:pStyle w:val="NormalWeb"/>
        <w:jc w:val="both"/>
        <w:rPr>
          <w:rFonts w:eastAsia="Arial Unicode MS"/>
          <w:sz w:val="28"/>
          <w:szCs w:val="28"/>
          <w:bdr w:val="nil"/>
          <w:lang w:eastAsia="en-US"/>
        </w:rPr>
      </w:pPr>
      <w:r>
        <w:tab/>
      </w:r>
      <w:r w:rsidR="00125BE2" w:rsidRPr="00125BE2">
        <w:rPr>
          <w:rFonts w:eastAsia="Arial Unicode MS"/>
          <w:sz w:val="28"/>
          <w:szCs w:val="28"/>
          <w:bdr w:val="nil"/>
          <w:lang w:eastAsia="en-US"/>
        </w:rPr>
        <w:t>Segundo matéria da revista Época de 28/08/2015, as garantias oferecidas ao BNDES à construção do Porto de Mariel são “recebíveis da indústria tabagista cubana”.</w:t>
      </w:r>
    </w:p>
    <w:p w:rsidR="00125BE2" w:rsidRPr="00125BE2" w:rsidRDefault="00125BE2" w:rsidP="00125BE2">
      <w:pPr>
        <w:pStyle w:val="NormalWeb"/>
        <w:ind w:firstLine="708"/>
        <w:jc w:val="both"/>
        <w:rPr>
          <w:rFonts w:eastAsia="Arial Unicode MS"/>
          <w:sz w:val="28"/>
          <w:szCs w:val="28"/>
          <w:bdr w:val="nil"/>
          <w:lang w:eastAsia="en-US"/>
        </w:rPr>
      </w:pPr>
      <w:r w:rsidRPr="00125BE2">
        <w:rPr>
          <w:rFonts w:eastAsia="Arial Unicode MS"/>
          <w:sz w:val="28"/>
          <w:szCs w:val="28"/>
          <w:bdr w:val="nil"/>
          <w:lang w:eastAsia="en-US"/>
        </w:rPr>
        <w:t xml:space="preserve">Nas operações de crédito à exportação de bens e serviços com financiamento de longo prazo (superior a dois anos), o </w:t>
      </w:r>
      <w:r w:rsidR="008E5C4D">
        <w:rPr>
          <w:rFonts w:eastAsia="Arial Unicode MS"/>
          <w:sz w:val="28"/>
          <w:szCs w:val="28"/>
          <w:bdr w:val="nil"/>
          <w:lang w:eastAsia="en-US"/>
        </w:rPr>
        <w:t>e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 xml:space="preserve">xportador brasileiro pode contar com a garantia de crédito concedida pela União na forma de Seguro de Crédito à Exportação (SCE) para garantir o financiamento ao </w:t>
      </w:r>
      <w:r w:rsidR="008E5C4D">
        <w:rPr>
          <w:rFonts w:eastAsia="Arial Unicode MS"/>
          <w:sz w:val="28"/>
          <w:szCs w:val="28"/>
          <w:bdr w:val="nil"/>
          <w:lang w:eastAsia="en-US"/>
        </w:rPr>
        <w:t>i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>mportador. O SCE é lastreado com recursos públicos do Fundo de Garantia à Exportação (FGE), de responsabilidade do Ministério da Fazenda e operado pela ABGF - Agência Brasileira Gestora de Fundos Garantidores e Garantias S.A.</w:t>
      </w:r>
    </w:p>
    <w:p w:rsidR="00125BE2" w:rsidRPr="00125BE2" w:rsidRDefault="00125BE2" w:rsidP="00125BE2">
      <w:pPr>
        <w:pStyle w:val="NormalWeb"/>
        <w:ind w:firstLine="708"/>
        <w:jc w:val="both"/>
        <w:rPr>
          <w:rFonts w:eastAsia="Arial Unicode MS"/>
          <w:sz w:val="28"/>
          <w:szCs w:val="28"/>
          <w:bdr w:val="nil"/>
          <w:lang w:eastAsia="en-US"/>
        </w:rPr>
      </w:pPr>
      <w:r w:rsidRPr="00125BE2">
        <w:rPr>
          <w:rFonts w:eastAsia="Arial Unicode MS"/>
          <w:sz w:val="28"/>
          <w:szCs w:val="28"/>
          <w:bdr w:val="nil"/>
          <w:lang w:eastAsia="en-US"/>
        </w:rPr>
        <w:t xml:space="preserve">O BNDES é o principal financiador público de longo prazo para operações de comercialização de exportações. Para contratação do </w:t>
      </w:r>
      <w:r w:rsidRPr="00125BE2">
        <w:rPr>
          <w:rFonts w:eastAsia="Arial Unicode MS"/>
          <w:sz w:val="28"/>
          <w:szCs w:val="28"/>
          <w:bdr w:val="nil"/>
          <w:lang w:eastAsia="en-US"/>
        </w:rPr>
        <w:lastRenderedPageBreak/>
        <w:t xml:space="preserve">financiamento, o BNDES exige apresentação de garantias do crédito pelo </w:t>
      </w:r>
      <w:r w:rsidR="008E5C4D">
        <w:rPr>
          <w:rFonts w:eastAsia="Arial Unicode MS"/>
          <w:sz w:val="28"/>
          <w:szCs w:val="28"/>
          <w:bdr w:val="nil"/>
          <w:lang w:eastAsia="en-US"/>
        </w:rPr>
        <w:t>i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 xml:space="preserve">mportador, sendo aceito o SCE. O </w:t>
      </w:r>
      <w:r w:rsidR="008E5C4D">
        <w:rPr>
          <w:rFonts w:eastAsia="Arial Unicode MS"/>
          <w:sz w:val="28"/>
          <w:szCs w:val="28"/>
          <w:bdr w:val="nil"/>
          <w:lang w:eastAsia="en-US"/>
        </w:rPr>
        <w:t>s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 xml:space="preserve">eguro poderá ser ainda solicitado pelo </w:t>
      </w:r>
      <w:r w:rsidR="008E5C4D">
        <w:rPr>
          <w:rFonts w:eastAsia="Arial Unicode MS"/>
          <w:sz w:val="28"/>
          <w:szCs w:val="28"/>
          <w:bdr w:val="nil"/>
          <w:lang w:eastAsia="en-US"/>
        </w:rPr>
        <w:t>e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 xml:space="preserve">xportador em operações com qualquer outro </w:t>
      </w:r>
      <w:r w:rsidR="008E5C4D">
        <w:rPr>
          <w:rFonts w:eastAsia="Arial Unicode MS"/>
          <w:sz w:val="28"/>
          <w:szCs w:val="28"/>
          <w:bdr w:val="nil"/>
          <w:lang w:eastAsia="en-US"/>
        </w:rPr>
        <w:t>b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 xml:space="preserve">anco </w:t>
      </w:r>
      <w:r w:rsidR="008E5C4D">
        <w:rPr>
          <w:rFonts w:eastAsia="Arial Unicode MS"/>
          <w:sz w:val="28"/>
          <w:szCs w:val="28"/>
          <w:bdr w:val="nil"/>
          <w:lang w:eastAsia="en-US"/>
        </w:rPr>
        <w:t>f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>inanciador, público ou privado, brasileiro ou estrangeiro.</w:t>
      </w:r>
    </w:p>
    <w:p w:rsidR="00125BE2" w:rsidRPr="00125BE2" w:rsidRDefault="00125BE2" w:rsidP="00125BE2">
      <w:pPr>
        <w:pStyle w:val="NormalWeb"/>
        <w:ind w:firstLine="708"/>
        <w:jc w:val="both"/>
        <w:rPr>
          <w:rFonts w:eastAsia="Arial Unicode MS"/>
          <w:sz w:val="28"/>
          <w:szCs w:val="28"/>
          <w:bdr w:val="nil"/>
          <w:lang w:eastAsia="en-US"/>
        </w:rPr>
      </w:pPr>
      <w:r w:rsidRPr="00125BE2">
        <w:rPr>
          <w:rFonts w:eastAsia="Arial Unicode MS"/>
          <w:sz w:val="28"/>
          <w:szCs w:val="28"/>
          <w:bdr w:val="nil"/>
          <w:lang w:eastAsia="en-US"/>
        </w:rPr>
        <w:t>O SCE garante os financiamentos de crédito à exportação contra:</w:t>
      </w:r>
    </w:p>
    <w:p w:rsidR="00125BE2" w:rsidRPr="00125BE2" w:rsidRDefault="00125BE2" w:rsidP="00125BE2">
      <w:pPr>
        <w:pStyle w:val="NormalWeb"/>
        <w:ind w:firstLine="708"/>
        <w:jc w:val="both"/>
        <w:rPr>
          <w:rFonts w:eastAsia="Arial Unicode MS"/>
          <w:sz w:val="28"/>
          <w:szCs w:val="28"/>
          <w:bdr w:val="nil"/>
          <w:lang w:eastAsia="en-US"/>
        </w:rPr>
      </w:pPr>
      <w:r w:rsidRPr="00125BE2">
        <w:rPr>
          <w:rFonts w:eastAsia="Arial Unicode MS"/>
          <w:sz w:val="28"/>
          <w:szCs w:val="28"/>
          <w:bdr w:val="nil"/>
          <w:lang w:eastAsia="en-US"/>
        </w:rPr>
        <w:t>•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ab/>
        <w:t>Risco comercial, quando o financiador (</w:t>
      </w:r>
      <w:r w:rsidR="008E5C4D">
        <w:rPr>
          <w:rFonts w:eastAsia="Arial Unicode MS"/>
          <w:sz w:val="28"/>
          <w:szCs w:val="28"/>
          <w:bdr w:val="nil"/>
          <w:lang w:eastAsia="en-US"/>
        </w:rPr>
        <w:t>e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 xml:space="preserve">xportador ou </w:t>
      </w:r>
      <w:r w:rsidR="008E5C4D">
        <w:rPr>
          <w:rFonts w:eastAsia="Arial Unicode MS"/>
          <w:sz w:val="28"/>
          <w:szCs w:val="28"/>
          <w:bdr w:val="nil"/>
          <w:lang w:eastAsia="en-US"/>
        </w:rPr>
        <w:t>b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 xml:space="preserve">anco </w:t>
      </w:r>
      <w:r w:rsidR="008E5C4D">
        <w:rPr>
          <w:rFonts w:eastAsia="Arial Unicode MS"/>
          <w:sz w:val="28"/>
          <w:szCs w:val="28"/>
          <w:bdr w:val="nil"/>
          <w:lang w:eastAsia="en-US"/>
        </w:rPr>
        <w:t>f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 xml:space="preserve">inanciador) não recebe seus créditos concedidos ao </w:t>
      </w:r>
      <w:r w:rsidR="008E5C4D">
        <w:rPr>
          <w:rFonts w:eastAsia="Arial Unicode MS"/>
          <w:sz w:val="28"/>
          <w:szCs w:val="28"/>
          <w:bdr w:val="nil"/>
          <w:lang w:eastAsia="en-US"/>
        </w:rPr>
        <w:t>i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>mportador (mora, falência, etc.);</w:t>
      </w:r>
    </w:p>
    <w:p w:rsidR="00125BE2" w:rsidRPr="00125BE2" w:rsidRDefault="00125BE2" w:rsidP="00125BE2">
      <w:pPr>
        <w:pStyle w:val="NormalWeb"/>
        <w:ind w:firstLine="708"/>
        <w:jc w:val="both"/>
        <w:rPr>
          <w:rFonts w:eastAsia="Arial Unicode MS"/>
          <w:sz w:val="28"/>
          <w:szCs w:val="28"/>
          <w:bdr w:val="nil"/>
          <w:lang w:eastAsia="en-US"/>
        </w:rPr>
      </w:pPr>
      <w:r w:rsidRPr="00125BE2">
        <w:rPr>
          <w:rFonts w:eastAsia="Arial Unicode MS"/>
          <w:sz w:val="28"/>
          <w:szCs w:val="28"/>
          <w:bdr w:val="nil"/>
          <w:lang w:eastAsia="en-US"/>
        </w:rPr>
        <w:t>•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ab/>
        <w:t>Risco pol</w:t>
      </w:r>
      <w:r>
        <w:rPr>
          <w:rFonts w:eastAsia="Arial Unicode MS"/>
          <w:sz w:val="28"/>
          <w:szCs w:val="28"/>
          <w:bdr w:val="nil"/>
          <w:lang w:eastAsia="en-US"/>
        </w:rPr>
        <w:t>í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>tico (mora, rescisão arbitrária, moratória geral decretada pelas autoridades do país devedor); e</w:t>
      </w:r>
    </w:p>
    <w:p w:rsidR="00B62BF9" w:rsidRDefault="00125BE2" w:rsidP="00125BE2">
      <w:pPr>
        <w:pStyle w:val="NormalWeb"/>
        <w:ind w:firstLine="708"/>
        <w:jc w:val="both"/>
        <w:rPr>
          <w:lang w:eastAsia="en-US"/>
        </w:rPr>
      </w:pPr>
      <w:r w:rsidRPr="00125BE2">
        <w:rPr>
          <w:rFonts w:eastAsia="Arial Unicode MS"/>
          <w:sz w:val="28"/>
          <w:szCs w:val="28"/>
          <w:bdr w:val="nil"/>
          <w:lang w:eastAsia="en-US"/>
        </w:rPr>
        <w:t>•</w:t>
      </w:r>
      <w:r w:rsidRPr="00125BE2">
        <w:rPr>
          <w:rFonts w:eastAsia="Arial Unicode MS"/>
          <w:sz w:val="28"/>
          <w:szCs w:val="28"/>
          <w:bdr w:val="nil"/>
          <w:lang w:eastAsia="en-US"/>
        </w:rPr>
        <w:tab/>
        <w:t xml:space="preserve">Riscos extraordinários que impeçam o pagamento da dívida financiada (guerras, revoluções, catástrofes naturais). </w:t>
      </w:r>
      <w:r w:rsidR="00B62BF9" w:rsidRPr="00B62BF9">
        <w:rPr>
          <w:lang w:eastAsia="en-US"/>
        </w:rPr>
        <w:t xml:space="preserve"> </w:t>
      </w:r>
    </w:p>
    <w:p w:rsidR="000D505E" w:rsidRDefault="00E678AD" w:rsidP="00E678AD">
      <w:pPr>
        <w:pStyle w:val="05-Local-RQ-CLG"/>
        <w:spacing w:before="480" w:after="360"/>
        <w:ind w:left="0" w:firstLine="708"/>
        <w:jc w:val="both"/>
        <w:rPr>
          <w:rFonts w:hAnsi="Times New Roman" w:cs="Times New Roman"/>
          <w:color w:val="auto"/>
          <w:lang w:val="pt-BR" w:eastAsia="en-US"/>
        </w:rPr>
      </w:pPr>
      <w:r w:rsidRPr="00E678AD">
        <w:rPr>
          <w:rFonts w:hAnsi="Times New Roman" w:cs="Times New Roman"/>
          <w:color w:val="auto"/>
          <w:lang w:val="pt-BR" w:eastAsia="en-US"/>
        </w:rPr>
        <w:t>Como o financiamento da exportação, neste caso, tem o múltiplo objetivo de promoção de comércio exterior</w:t>
      </w:r>
      <w:r w:rsidR="00634F7C">
        <w:rPr>
          <w:rFonts w:hAnsi="Times New Roman" w:cs="Times New Roman"/>
          <w:color w:val="auto"/>
          <w:lang w:val="pt-BR" w:eastAsia="en-US"/>
        </w:rPr>
        <w:t>, da atividade econômica</w:t>
      </w:r>
      <w:r w:rsidRPr="00E678AD">
        <w:rPr>
          <w:rFonts w:hAnsi="Times New Roman" w:cs="Times New Roman"/>
          <w:color w:val="auto"/>
          <w:lang w:val="pt-BR" w:eastAsia="en-US"/>
        </w:rPr>
        <w:t xml:space="preserve"> e política externa, é oportuno o levantamento de mais informações sobre esse tipo de operação para conhecimento do Senado e, se for o caso, sugestão de encaminhamentos.</w:t>
      </w:r>
    </w:p>
    <w:p w:rsidR="00E678AD" w:rsidRDefault="00E678AD" w:rsidP="00B62BF9">
      <w:pPr>
        <w:pStyle w:val="05-Local-RQ-CLG"/>
        <w:spacing w:before="480" w:after="360"/>
        <w:ind w:left="0"/>
        <w:jc w:val="both"/>
        <w:rPr>
          <w:rFonts w:hAnsi="Times New Roman" w:cs="Times New Roman"/>
          <w:color w:val="auto"/>
          <w:lang w:val="pt-BR" w:eastAsia="en-US"/>
        </w:rPr>
      </w:pPr>
    </w:p>
    <w:p w:rsidR="003F7CB6" w:rsidRPr="00B62BF9" w:rsidRDefault="004543E4" w:rsidP="00B62BF9">
      <w:pPr>
        <w:pStyle w:val="05-Local-RQ-CLG"/>
        <w:spacing w:before="480" w:after="360"/>
        <w:ind w:left="0"/>
        <w:jc w:val="both"/>
        <w:rPr>
          <w:rFonts w:hAnsi="Times New Roman" w:cs="Times New Roman"/>
          <w:color w:val="auto"/>
          <w:lang w:val="pt-BR" w:eastAsia="en-US"/>
        </w:rPr>
      </w:pPr>
      <w:r w:rsidRPr="00B62BF9">
        <w:rPr>
          <w:rFonts w:hAnsi="Times New Roman" w:cs="Times New Roman"/>
          <w:color w:val="auto"/>
          <w:lang w:val="pt-BR" w:eastAsia="en-US"/>
        </w:rPr>
        <w:t>Sala de Sessões,</w:t>
      </w:r>
    </w:p>
    <w:p w:rsidR="000D505E" w:rsidRDefault="000D505E">
      <w:pPr>
        <w:pStyle w:val="06-IdentificaoParlamentar-RQ-CLG"/>
        <w:spacing w:before="240" w:after="240"/>
        <w:ind w:left="1418" w:firstLine="709"/>
        <w:jc w:val="both"/>
        <w:rPr>
          <w:sz w:val="32"/>
          <w:szCs w:val="32"/>
        </w:rPr>
      </w:pPr>
    </w:p>
    <w:p w:rsidR="003F7CB6" w:rsidRDefault="004543E4">
      <w:pPr>
        <w:pStyle w:val="06-IdentificaoParlamentar-RQ-CLG"/>
        <w:spacing w:before="240" w:after="240"/>
        <w:ind w:left="1418" w:firstLine="709"/>
        <w:jc w:val="both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Senador </w:t>
      </w:r>
      <w:r>
        <w:rPr>
          <w:b/>
          <w:bCs/>
          <w:sz w:val="32"/>
          <w:szCs w:val="32"/>
        </w:rPr>
        <w:t>TASSO JEREISSATI</w:t>
      </w:r>
    </w:p>
    <w:p w:rsidR="00C55336" w:rsidRDefault="00C55336">
      <w:pPr>
        <w:pStyle w:val="06-IdentificaoParlamentar-RQ-CLG"/>
        <w:spacing w:before="240" w:after="240"/>
        <w:ind w:left="1418" w:firstLine="709"/>
        <w:jc w:val="both"/>
        <w:rPr>
          <w:b/>
          <w:bCs/>
          <w:sz w:val="32"/>
          <w:szCs w:val="32"/>
        </w:rPr>
      </w:pPr>
    </w:p>
    <w:p w:rsidR="00C55336" w:rsidRDefault="00C55336">
      <w:pPr>
        <w:pStyle w:val="06-IdentificaoParlamentar-RQ-CLG"/>
        <w:spacing w:before="240" w:after="240"/>
        <w:ind w:left="1418" w:firstLine="709"/>
        <w:jc w:val="both"/>
        <w:rPr>
          <w:b/>
          <w:bCs/>
          <w:sz w:val="32"/>
          <w:szCs w:val="32"/>
        </w:rPr>
      </w:pPr>
    </w:p>
    <w:p w:rsidR="00C55336" w:rsidRDefault="00C55336">
      <w:pPr>
        <w:pStyle w:val="06-IdentificaoParlamentar-RQ-CLG"/>
        <w:spacing w:before="240" w:after="240"/>
        <w:ind w:left="1418" w:firstLine="709"/>
        <w:jc w:val="both"/>
        <w:rPr>
          <w:b/>
          <w:bCs/>
          <w:sz w:val="32"/>
          <w:szCs w:val="32"/>
        </w:rPr>
      </w:pPr>
    </w:p>
    <w:sectPr w:rsidR="00C55336" w:rsidSect="003F7CB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977" w:right="1701" w:bottom="1078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EA2" w:rsidRDefault="00987EA2" w:rsidP="003F7CB6">
      <w:r>
        <w:separator/>
      </w:r>
    </w:p>
  </w:endnote>
  <w:endnote w:type="continuationSeparator" w:id="0">
    <w:p w:rsidR="00987EA2" w:rsidRDefault="00987EA2" w:rsidP="003F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AD9" w:rsidRDefault="00431AD9" w:rsidP="00D65128">
    <w:pPr>
      <w:pStyle w:val="CorpoA"/>
      <w:jc w:val="center"/>
      <w:rPr>
        <w:sz w:val="14"/>
        <w:szCs w:val="14"/>
      </w:rPr>
    </w:pPr>
    <w:r>
      <w:rPr>
        <w:noProof/>
        <w:sz w:val="14"/>
        <w:szCs w:val="14"/>
        <w:lang w:val="pt-BR"/>
      </w:rPr>
      <w:drawing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-19050</wp:posOffset>
          </wp:positionH>
          <wp:positionV relativeFrom="page">
            <wp:posOffset>9810750</wp:posOffset>
          </wp:positionV>
          <wp:extent cx="10525125" cy="76200"/>
          <wp:effectExtent l="19050" t="0" r="9525" b="0"/>
          <wp:wrapNone/>
          <wp:docPr id="2" name="officeArt object" descr="trac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jpeg" descr="traco.jp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25125" cy="76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431AD9" w:rsidRDefault="00431AD9" w:rsidP="00D65128">
    <w:pPr>
      <w:pStyle w:val="CorpoA"/>
      <w:jc w:val="center"/>
      <w:rPr>
        <w:sz w:val="14"/>
        <w:szCs w:val="14"/>
      </w:rPr>
    </w:pPr>
    <w:r>
      <w:rPr>
        <w:sz w:val="14"/>
        <w:szCs w:val="14"/>
      </w:rPr>
      <w:t>Praça dos Tr</w:t>
    </w:r>
    <w:r>
      <w:rPr>
        <w:sz w:val="14"/>
        <w:szCs w:val="14"/>
        <w:lang w:val="fr-FR"/>
      </w:rPr>
      <w:t>ê</w:t>
    </w:r>
    <w:r>
      <w:rPr>
        <w:sz w:val="14"/>
        <w:szCs w:val="14"/>
      </w:rPr>
      <w:t>s Poderes | Senado Federal | Anexo I, 14</w:t>
    </w:r>
    <w:r>
      <w:rPr>
        <w:sz w:val="14"/>
        <w:szCs w:val="14"/>
        <w:lang w:val="es-ES_tradnl"/>
      </w:rPr>
      <w:t xml:space="preserve">º </w:t>
    </w:r>
    <w:r>
      <w:rPr>
        <w:sz w:val="14"/>
        <w:szCs w:val="14"/>
      </w:rPr>
      <w:t xml:space="preserve">andar | 70.165-900 – Brasília – DF </w:t>
    </w:r>
  </w:p>
  <w:p w:rsidR="00431AD9" w:rsidRDefault="00431AD9" w:rsidP="00D65128">
    <w:pPr>
      <w:pStyle w:val="CorpoA"/>
      <w:jc w:val="center"/>
      <w:rPr>
        <w:sz w:val="14"/>
        <w:szCs w:val="14"/>
      </w:rPr>
    </w:pPr>
    <w:r>
      <w:rPr>
        <w:sz w:val="14"/>
        <w:szCs w:val="14"/>
      </w:rPr>
      <w:t>Tel.: (61) 3303-4502 – Fax: (61) 3303-4573 | tasso.jereissati@senador.leg.br</w:t>
    </w:r>
  </w:p>
  <w:p w:rsidR="00431AD9" w:rsidRDefault="00431AD9">
    <w:pPr>
      <w:pStyle w:val="Cabealhoe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AD9" w:rsidRDefault="00431AD9">
    <w:pPr>
      <w:pStyle w:val="CorpoA"/>
      <w:jc w:val="center"/>
      <w:rPr>
        <w:sz w:val="14"/>
        <w:szCs w:val="14"/>
      </w:rPr>
    </w:pPr>
    <w:r>
      <w:rPr>
        <w:noProof/>
        <w:sz w:val="14"/>
        <w:szCs w:val="14"/>
        <w:lang w:val="pt-BR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-228600</wp:posOffset>
          </wp:positionH>
          <wp:positionV relativeFrom="page">
            <wp:posOffset>10001250</wp:posOffset>
          </wp:positionV>
          <wp:extent cx="10525125" cy="76200"/>
          <wp:effectExtent l="19050" t="0" r="9525" b="0"/>
          <wp:wrapNone/>
          <wp:docPr id="1073741826" name="officeArt object" descr="trac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jpeg" descr="traco.jp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25125" cy="76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431AD9" w:rsidRDefault="00431AD9">
    <w:pPr>
      <w:pStyle w:val="CorpoA"/>
      <w:jc w:val="center"/>
      <w:rPr>
        <w:sz w:val="14"/>
        <w:szCs w:val="14"/>
      </w:rPr>
    </w:pPr>
    <w:r>
      <w:rPr>
        <w:sz w:val="14"/>
        <w:szCs w:val="14"/>
      </w:rPr>
      <w:t>Praça dos Tr</w:t>
    </w:r>
    <w:r>
      <w:rPr>
        <w:sz w:val="14"/>
        <w:szCs w:val="14"/>
        <w:lang w:val="fr-FR"/>
      </w:rPr>
      <w:t>ê</w:t>
    </w:r>
    <w:r>
      <w:rPr>
        <w:sz w:val="14"/>
        <w:szCs w:val="14"/>
      </w:rPr>
      <w:t>s Poderes | Senado Federal | Anexo I, 14</w:t>
    </w:r>
    <w:r>
      <w:rPr>
        <w:sz w:val="14"/>
        <w:szCs w:val="14"/>
        <w:lang w:val="es-ES_tradnl"/>
      </w:rPr>
      <w:t xml:space="preserve">º </w:t>
    </w:r>
    <w:r>
      <w:rPr>
        <w:sz w:val="14"/>
        <w:szCs w:val="14"/>
      </w:rPr>
      <w:t xml:space="preserve">andar | 70.165-900 – Brasília – DF </w:t>
    </w:r>
  </w:p>
  <w:p w:rsidR="00431AD9" w:rsidRDefault="00431AD9">
    <w:pPr>
      <w:pStyle w:val="CorpoA"/>
      <w:jc w:val="center"/>
      <w:rPr>
        <w:sz w:val="14"/>
        <w:szCs w:val="14"/>
      </w:rPr>
    </w:pPr>
    <w:r>
      <w:rPr>
        <w:sz w:val="14"/>
        <w:szCs w:val="14"/>
      </w:rPr>
      <w:t>Tel.: (61) 3303-4502 – Fax: (61) 3303-4573 | tasso.jereissati@senador.leg.br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EA2" w:rsidRDefault="00987EA2" w:rsidP="003F7CB6">
      <w:r>
        <w:separator/>
      </w:r>
    </w:p>
  </w:footnote>
  <w:footnote w:type="continuationSeparator" w:id="0">
    <w:p w:rsidR="00987EA2" w:rsidRDefault="00987EA2" w:rsidP="003F7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AD9" w:rsidRDefault="00431AD9" w:rsidP="00D65128">
    <w:pPr>
      <w:pStyle w:val="Cabealho"/>
      <w:tabs>
        <w:tab w:val="clear" w:pos="8504"/>
        <w:tab w:val="right" w:pos="8478"/>
      </w:tabs>
      <w:jc w:val="center"/>
    </w:pPr>
    <w:r w:rsidRPr="00D65128">
      <w:rPr>
        <w:noProof/>
        <w:lang w:val="pt-BR"/>
      </w:rPr>
      <w:drawing>
        <wp:inline distT="0" distB="0" distL="0" distR="0">
          <wp:extent cx="1352550" cy="771525"/>
          <wp:effectExtent l="19050" t="0" r="0" b="0"/>
          <wp:docPr id="1" name="officeArt object" descr="brasao-p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brasao-pb.jp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7715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431AD9" w:rsidRPr="001A203B" w:rsidRDefault="00431AD9" w:rsidP="00D65128">
    <w:pPr>
      <w:pStyle w:val="Cabealho"/>
      <w:tabs>
        <w:tab w:val="clear" w:pos="8504"/>
        <w:tab w:val="right" w:pos="8478"/>
      </w:tabs>
      <w:jc w:val="center"/>
      <w:rPr>
        <w:sz w:val="16"/>
        <w:szCs w:val="16"/>
      </w:rPr>
    </w:pPr>
    <w:r w:rsidRPr="001A203B">
      <w:rPr>
        <w:sz w:val="16"/>
        <w:szCs w:val="16"/>
      </w:rPr>
      <w:t>Gabinete Senador Tasso Jereissati</w:t>
    </w:r>
  </w:p>
  <w:p w:rsidR="00431AD9" w:rsidRDefault="00431AD9" w:rsidP="00D65128">
    <w:pPr>
      <w:pStyle w:val="Cabealho"/>
      <w:tabs>
        <w:tab w:val="clear" w:pos="8504"/>
        <w:tab w:val="right" w:pos="8478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AD9" w:rsidRDefault="00431AD9">
    <w:pPr>
      <w:pStyle w:val="Cabealho"/>
      <w:tabs>
        <w:tab w:val="clear" w:pos="8504"/>
        <w:tab w:val="right" w:pos="8478"/>
      </w:tabs>
      <w:jc w:val="center"/>
    </w:pPr>
    <w:bookmarkStart w:id="0" w:name="_GoBack"/>
    <w:r>
      <w:rPr>
        <w:noProof/>
        <w:lang w:val="pt-BR"/>
      </w:rPr>
      <w:drawing>
        <wp:inline distT="0" distB="0" distL="0" distR="0">
          <wp:extent cx="1314450" cy="838200"/>
          <wp:effectExtent l="19050" t="0" r="0" b="0"/>
          <wp:docPr id="1073741825" name="officeArt object" descr="brasao-p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brasao-pb.jp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838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bookmarkEnd w:id="0"/>
  <w:p w:rsidR="00431AD9" w:rsidRPr="004D625C" w:rsidRDefault="00431AD9">
    <w:pPr>
      <w:pStyle w:val="Cabealho"/>
      <w:tabs>
        <w:tab w:val="clear" w:pos="8504"/>
        <w:tab w:val="right" w:pos="8478"/>
      </w:tabs>
      <w:jc w:val="center"/>
      <w:rPr>
        <w:sz w:val="16"/>
        <w:szCs w:val="16"/>
      </w:rPr>
    </w:pPr>
    <w:r w:rsidRPr="004D625C">
      <w:rPr>
        <w:sz w:val="16"/>
        <w:szCs w:val="16"/>
      </w:rPr>
      <w:t>Gabinete Senador Tasso Jereissati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3F7F"/>
    <w:multiLevelType w:val="multilevel"/>
    <w:tmpl w:val="57582FD0"/>
    <w:styleLink w:val="List0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position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2274"/>
        </w:tabs>
        <w:ind w:left="2274" w:hanging="420"/>
      </w:pPr>
      <w:rPr>
        <w:position w:val="0"/>
        <w:sz w:val="28"/>
        <w:szCs w:val="28"/>
        <w:rtl w:val="0"/>
      </w:rPr>
    </w:lvl>
    <w:lvl w:ilvl="2">
      <w:start w:val="1"/>
      <w:numFmt w:val="lowerRoman"/>
      <w:lvlText w:val="%3."/>
      <w:lvlJc w:val="left"/>
      <w:pPr>
        <w:tabs>
          <w:tab w:val="num" w:pos="2983"/>
        </w:tabs>
        <w:ind w:left="2983" w:hanging="345"/>
      </w:pPr>
      <w:rPr>
        <w:position w:val="0"/>
        <w:sz w:val="28"/>
        <w:szCs w:val="28"/>
        <w:rtl w:val="0"/>
      </w:rPr>
    </w:lvl>
    <w:lvl w:ilvl="3">
      <w:start w:val="1"/>
      <w:numFmt w:val="decimal"/>
      <w:lvlText w:val="%4."/>
      <w:lvlJc w:val="left"/>
      <w:pPr>
        <w:tabs>
          <w:tab w:val="num" w:pos="3714"/>
        </w:tabs>
        <w:ind w:left="3714" w:hanging="420"/>
      </w:pPr>
      <w:rPr>
        <w:position w:val="0"/>
        <w:sz w:val="28"/>
        <w:szCs w:val="28"/>
        <w:rtl w:val="0"/>
      </w:rPr>
    </w:lvl>
    <w:lvl w:ilvl="4">
      <w:start w:val="1"/>
      <w:numFmt w:val="lowerLetter"/>
      <w:lvlText w:val="%5."/>
      <w:lvlJc w:val="left"/>
      <w:pPr>
        <w:tabs>
          <w:tab w:val="num" w:pos="4434"/>
        </w:tabs>
        <w:ind w:left="4434" w:hanging="420"/>
      </w:pPr>
      <w:rPr>
        <w:position w:val="0"/>
        <w:sz w:val="28"/>
        <w:szCs w:val="28"/>
        <w:rtl w:val="0"/>
      </w:rPr>
    </w:lvl>
    <w:lvl w:ilvl="5">
      <w:start w:val="1"/>
      <w:numFmt w:val="lowerRoman"/>
      <w:lvlText w:val="%6."/>
      <w:lvlJc w:val="left"/>
      <w:pPr>
        <w:tabs>
          <w:tab w:val="num" w:pos="5143"/>
        </w:tabs>
        <w:ind w:left="5143" w:hanging="345"/>
      </w:pPr>
      <w:rPr>
        <w:position w:val="0"/>
        <w:sz w:val="28"/>
        <w:szCs w:val="28"/>
        <w:rtl w:val="0"/>
      </w:rPr>
    </w:lvl>
    <w:lvl w:ilvl="6">
      <w:start w:val="1"/>
      <w:numFmt w:val="decimal"/>
      <w:lvlText w:val="%7."/>
      <w:lvlJc w:val="left"/>
      <w:pPr>
        <w:tabs>
          <w:tab w:val="num" w:pos="5874"/>
        </w:tabs>
        <w:ind w:left="5874" w:hanging="420"/>
      </w:pPr>
      <w:rPr>
        <w:position w:val="0"/>
        <w:sz w:val="28"/>
        <w:szCs w:val="28"/>
        <w:rtl w:val="0"/>
      </w:rPr>
    </w:lvl>
    <w:lvl w:ilvl="7">
      <w:start w:val="1"/>
      <w:numFmt w:val="lowerLetter"/>
      <w:lvlText w:val="%8."/>
      <w:lvlJc w:val="left"/>
      <w:pPr>
        <w:tabs>
          <w:tab w:val="num" w:pos="6594"/>
        </w:tabs>
        <w:ind w:left="6594" w:hanging="420"/>
      </w:pPr>
      <w:rPr>
        <w:position w:val="0"/>
        <w:sz w:val="28"/>
        <w:szCs w:val="28"/>
        <w:rtl w:val="0"/>
      </w:rPr>
    </w:lvl>
    <w:lvl w:ilvl="8">
      <w:start w:val="1"/>
      <w:numFmt w:val="lowerRoman"/>
      <w:lvlText w:val="%9."/>
      <w:lvlJc w:val="left"/>
      <w:pPr>
        <w:tabs>
          <w:tab w:val="num" w:pos="7303"/>
        </w:tabs>
        <w:ind w:left="7303" w:hanging="345"/>
      </w:pPr>
      <w:rPr>
        <w:position w:val="0"/>
        <w:sz w:val="28"/>
        <w:szCs w:val="28"/>
        <w:rtl w:val="0"/>
      </w:rPr>
    </w:lvl>
  </w:abstractNum>
  <w:abstractNum w:abstractNumId="1" w15:restartNumberingAfterBreak="0">
    <w:nsid w:val="54AE5B44"/>
    <w:multiLevelType w:val="hybridMultilevel"/>
    <w:tmpl w:val="EFA8A2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5096F"/>
    <w:multiLevelType w:val="hybridMultilevel"/>
    <w:tmpl w:val="598CADA4"/>
    <w:lvl w:ilvl="0" w:tplc="128CC86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7177D53"/>
    <w:multiLevelType w:val="hybridMultilevel"/>
    <w:tmpl w:val="4BE26B82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4A41AD"/>
    <w:multiLevelType w:val="hybridMultilevel"/>
    <w:tmpl w:val="6622A2B6"/>
    <w:lvl w:ilvl="0" w:tplc="D820C8C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A957687"/>
    <w:multiLevelType w:val="multilevel"/>
    <w:tmpl w:val="E432F650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position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2274"/>
        </w:tabs>
        <w:ind w:left="2274" w:hanging="420"/>
      </w:pPr>
      <w:rPr>
        <w:position w:val="0"/>
        <w:sz w:val="28"/>
        <w:szCs w:val="28"/>
        <w:rtl w:val="0"/>
      </w:rPr>
    </w:lvl>
    <w:lvl w:ilvl="2">
      <w:start w:val="1"/>
      <w:numFmt w:val="lowerRoman"/>
      <w:lvlText w:val="%3."/>
      <w:lvlJc w:val="left"/>
      <w:pPr>
        <w:tabs>
          <w:tab w:val="num" w:pos="2983"/>
        </w:tabs>
        <w:ind w:left="2983" w:hanging="345"/>
      </w:pPr>
      <w:rPr>
        <w:position w:val="0"/>
        <w:sz w:val="28"/>
        <w:szCs w:val="28"/>
        <w:rtl w:val="0"/>
      </w:rPr>
    </w:lvl>
    <w:lvl w:ilvl="3">
      <w:start w:val="1"/>
      <w:numFmt w:val="decimal"/>
      <w:lvlText w:val="%4."/>
      <w:lvlJc w:val="left"/>
      <w:pPr>
        <w:tabs>
          <w:tab w:val="num" w:pos="3714"/>
        </w:tabs>
        <w:ind w:left="3714" w:hanging="420"/>
      </w:pPr>
      <w:rPr>
        <w:position w:val="0"/>
        <w:sz w:val="28"/>
        <w:szCs w:val="28"/>
        <w:rtl w:val="0"/>
      </w:rPr>
    </w:lvl>
    <w:lvl w:ilvl="4">
      <w:start w:val="1"/>
      <w:numFmt w:val="lowerLetter"/>
      <w:lvlText w:val="%5."/>
      <w:lvlJc w:val="left"/>
      <w:pPr>
        <w:tabs>
          <w:tab w:val="num" w:pos="4434"/>
        </w:tabs>
        <w:ind w:left="4434" w:hanging="420"/>
      </w:pPr>
      <w:rPr>
        <w:position w:val="0"/>
        <w:sz w:val="28"/>
        <w:szCs w:val="28"/>
        <w:rtl w:val="0"/>
      </w:rPr>
    </w:lvl>
    <w:lvl w:ilvl="5">
      <w:start w:val="1"/>
      <w:numFmt w:val="lowerRoman"/>
      <w:lvlText w:val="%6."/>
      <w:lvlJc w:val="left"/>
      <w:pPr>
        <w:tabs>
          <w:tab w:val="num" w:pos="5143"/>
        </w:tabs>
        <w:ind w:left="5143" w:hanging="345"/>
      </w:pPr>
      <w:rPr>
        <w:position w:val="0"/>
        <w:sz w:val="28"/>
        <w:szCs w:val="28"/>
        <w:rtl w:val="0"/>
      </w:rPr>
    </w:lvl>
    <w:lvl w:ilvl="6">
      <w:start w:val="1"/>
      <w:numFmt w:val="decimal"/>
      <w:lvlText w:val="%7."/>
      <w:lvlJc w:val="left"/>
      <w:pPr>
        <w:tabs>
          <w:tab w:val="num" w:pos="5874"/>
        </w:tabs>
        <w:ind w:left="5874" w:hanging="420"/>
      </w:pPr>
      <w:rPr>
        <w:position w:val="0"/>
        <w:sz w:val="28"/>
        <w:szCs w:val="28"/>
        <w:rtl w:val="0"/>
      </w:rPr>
    </w:lvl>
    <w:lvl w:ilvl="7">
      <w:start w:val="1"/>
      <w:numFmt w:val="lowerLetter"/>
      <w:lvlText w:val="%8."/>
      <w:lvlJc w:val="left"/>
      <w:pPr>
        <w:tabs>
          <w:tab w:val="num" w:pos="6594"/>
        </w:tabs>
        <w:ind w:left="6594" w:hanging="420"/>
      </w:pPr>
      <w:rPr>
        <w:position w:val="0"/>
        <w:sz w:val="28"/>
        <w:szCs w:val="28"/>
        <w:rtl w:val="0"/>
      </w:rPr>
    </w:lvl>
    <w:lvl w:ilvl="8">
      <w:start w:val="1"/>
      <w:numFmt w:val="lowerRoman"/>
      <w:lvlText w:val="%9."/>
      <w:lvlJc w:val="left"/>
      <w:pPr>
        <w:tabs>
          <w:tab w:val="num" w:pos="7303"/>
        </w:tabs>
        <w:ind w:left="7303" w:hanging="345"/>
      </w:pPr>
      <w:rPr>
        <w:position w:val="0"/>
        <w:sz w:val="28"/>
        <w:szCs w:val="28"/>
        <w:rtl w:val="0"/>
      </w:rPr>
    </w:lvl>
  </w:abstractNum>
  <w:abstractNum w:abstractNumId="6" w15:restartNumberingAfterBreak="0">
    <w:nsid w:val="7EA54876"/>
    <w:multiLevelType w:val="multilevel"/>
    <w:tmpl w:val="46F80B62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E4E"/>
    <w:rsid w:val="00004E5E"/>
    <w:rsid w:val="00030391"/>
    <w:rsid w:val="000D505E"/>
    <w:rsid w:val="00125BE2"/>
    <w:rsid w:val="001323C1"/>
    <w:rsid w:val="00174488"/>
    <w:rsid w:val="001A203B"/>
    <w:rsid w:val="001C4756"/>
    <w:rsid w:val="001D3810"/>
    <w:rsid w:val="00241BF2"/>
    <w:rsid w:val="00257C06"/>
    <w:rsid w:val="00276F56"/>
    <w:rsid w:val="00293708"/>
    <w:rsid w:val="002D6E11"/>
    <w:rsid w:val="0034038A"/>
    <w:rsid w:val="0036702C"/>
    <w:rsid w:val="0036751B"/>
    <w:rsid w:val="00380D59"/>
    <w:rsid w:val="00385F2D"/>
    <w:rsid w:val="003E48B3"/>
    <w:rsid w:val="003F0527"/>
    <w:rsid w:val="003F7CB6"/>
    <w:rsid w:val="00427428"/>
    <w:rsid w:val="00431AD9"/>
    <w:rsid w:val="004543E4"/>
    <w:rsid w:val="004B0DFD"/>
    <w:rsid w:val="004D625C"/>
    <w:rsid w:val="00536636"/>
    <w:rsid w:val="00555CD5"/>
    <w:rsid w:val="005A0902"/>
    <w:rsid w:val="005A57FE"/>
    <w:rsid w:val="005E4ED8"/>
    <w:rsid w:val="00634F7C"/>
    <w:rsid w:val="00684E4E"/>
    <w:rsid w:val="006B3867"/>
    <w:rsid w:val="00730AD2"/>
    <w:rsid w:val="00784C08"/>
    <w:rsid w:val="00795B62"/>
    <w:rsid w:val="007F6EA9"/>
    <w:rsid w:val="007F7D96"/>
    <w:rsid w:val="00826E10"/>
    <w:rsid w:val="00866F48"/>
    <w:rsid w:val="008E5C4D"/>
    <w:rsid w:val="00953832"/>
    <w:rsid w:val="00987EA2"/>
    <w:rsid w:val="009B3FE0"/>
    <w:rsid w:val="009F18AB"/>
    <w:rsid w:val="00A145A5"/>
    <w:rsid w:val="00AD154C"/>
    <w:rsid w:val="00B62BF9"/>
    <w:rsid w:val="00B83D59"/>
    <w:rsid w:val="00BC5F28"/>
    <w:rsid w:val="00C55336"/>
    <w:rsid w:val="00C9547C"/>
    <w:rsid w:val="00CE7B17"/>
    <w:rsid w:val="00D05786"/>
    <w:rsid w:val="00D50209"/>
    <w:rsid w:val="00D63598"/>
    <w:rsid w:val="00D65128"/>
    <w:rsid w:val="00D9705F"/>
    <w:rsid w:val="00E03C9D"/>
    <w:rsid w:val="00E42ECB"/>
    <w:rsid w:val="00E678AD"/>
    <w:rsid w:val="00E93063"/>
    <w:rsid w:val="00E93851"/>
    <w:rsid w:val="00E95990"/>
    <w:rsid w:val="00ED461E"/>
    <w:rsid w:val="00F07549"/>
    <w:rsid w:val="00F26791"/>
    <w:rsid w:val="00FB1998"/>
    <w:rsid w:val="00FC525E"/>
    <w:rsid w:val="00FE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8369D-B5E3-4569-9B5D-FB804BDB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F7CB6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F7CB6"/>
    <w:rPr>
      <w:u w:val="single"/>
    </w:rPr>
  </w:style>
  <w:style w:type="table" w:customStyle="1" w:styleId="TableNormal">
    <w:name w:val="Table Normal"/>
    <w:rsid w:val="003F7C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rsid w:val="003F7CB6"/>
    <w:pPr>
      <w:tabs>
        <w:tab w:val="center" w:pos="4252"/>
        <w:tab w:val="right" w:pos="8504"/>
      </w:tabs>
    </w:pPr>
    <w:rPr>
      <w:rFonts w:hAnsi="Arial Unicode MS" w:cs="Arial Unicode MS"/>
      <w:color w:val="000000"/>
      <w:sz w:val="24"/>
      <w:szCs w:val="24"/>
      <w:u w:color="000000"/>
      <w:lang w:val="pt-PT"/>
    </w:rPr>
  </w:style>
  <w:style w:type="paragraph" w:customStyle="1" w:styleId="CabealhoeRodap">
    <w:name w:val="Cabeçalho e Rodapé"/>
    <w:rsid w:val="003F7CB6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oA">
    <w:name w:val="Corpo A"/>
    <w:rsid w:val="003F7CB6"/>
    <w:rPr>
      <w:rFonts w:eastAsia="Times New Roman"/>
      <w:color w:val="000000"/>
      <w:u w:color="000000"/>
      <w:lang w:val="pt-PT"/>
    </w:rPr>
  </w:style>
  <w:style w:type="paragraph" w:customStyle="1" w:styleId="Corpo">
    <w:name w:val="Corpo"/>
    <w:rsid w:val="003F7CB6"/>
    <w:rPr>
      <w:rFonts w:hAnsi="Arial Unicode MS" w:cs="Arial Unicode MS"/>
      <w:color w:val="000000"/>
      <w:sz w:val="24"/>
      <w:szCs w:val="24"/>
      <w:u w:color="000000"/>
      <w:lang w:val="pt-PT"/>
    </w:rPr>
  </w:style>
  <w:style w:type="paragraph" w:customStyle="1" w:styleId="02-TtuloRQ-CLG">
    <w:name w:val="02 - Título RQ - CLG"/>
    <w:rsid w:val="003F7CB6"/>
    <w:pPr>
      <w:spacing w:after="1440"/>
      <w:jc w:val="center"/>
    </w:pPr>
    <w:rPr>
      <w:rFonts w:hAnsi="Arial Unicode MS" w:cs="Arial Unicode MS"/>
      <w:b/>
      <w:bCs/>
      <w:color w:val="000000"/>
      <w:sz w:val="32"/>
      <w:szCs w:val="32"/>
      <w:u w:color="000000"/>
      <w:lang w:val="pt-PT"/>
    </w:rPr>
  </w:style>
  <w:style w:type="paragraph" w:styleId="PargrafodaLista">
    <w:name w:val="List Paragraph"/>
    <w:uiPriority w:val="34"/>
    <w:qFormat/>
    <w:rsid w:val="003F7CB6"/>
    <w:pPr>
      <w:ind w:left="720"/>
    </w:pPr>
    <w:rPr>
      <w:rFonts w:hAnsi="Arial Unicode MS" w:cs="Arial Unicode MS"/>
      <w:color w:val="000000"/>
      <w:sz w:val="24"/>
      <w:szCs w:val="24"/>
      <w:u w:color="000000"/>
      <w:lang w:val="pt-PT"/>
    </w:rPr>
  </w:style>
  <w:style w:type="numbering" w:customStyle="1" w:styleId="List0">
    <w:name w:val="List 0"/>
    <w:basedOn w:val="EstiloImportado1"/>
    <w:rsid w:val="003F7CB6"/>
    <w:pPr>
      <w:numPr>
        <w:numId w:val="3"/>
      </w:numPr>
    </w:pPr>
  </w:style>
  <w:style w:type="numbering" w:customStyle="1" w:styleId="EstiloImportado1">
    <w:name w:val="Estilo Importado 1"/>
    <w:rsid w:val="003F7CB6"/>
  </w:style>
  <w:style w:type="paragraph" w:customStyle="1" w:styleId="05-Local-RQ-CLG">
    <w:name w:val="05 - Local - RQ - CLG"/>
    <w:rsid w:val="003F7CB6"/>
    <w:pPr>
      <w:spacing w:before="720" w:after="480"/>
      <w:ind w:left="2268"/>
    </w:pPr>
    <w:rPr>
      <w:rFonts w:hAnsi="Arial Unicode MS" w:cs="Arial Unicode MS"/>
      <w:color w:val="000000"/>
      <w:sz w:val="28"/>
      <w:szCs w:val="28"/>
      <w:u w:color="000000"/>
      <w:lang w:val="pt-PT"/>
    </w:rPr>
  </w:style>
  <w:style w:type="paragraph" w:customStyle="1" w:styleId="06-IdentificaoParlamentar-RQ-CLG">
    <w:name w:val="06 - Identificação Parlamentar - RQ - CLG"/>
    <w:rsid w:val="003F7CB6"/>
    <w:pPr>
      <w:ind w:left="3402"/>
    </w:pPr>
    <w:rPr>
      <w:rFonts w:eastAsia="Times New Roman"/>
      <w:color w:val="000000"/>
      <w:sz w:val="28"/>
      <w:szCs w:val="28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38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3832"/>
    <w:rPr>
      <w:rFonts w:ascii="Tahoma" w:hAnsi="Tahoma" w:cs="Tahoma"/>
      <w:sz w:val="16"/>
      <w:szCs w:val="16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D651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5128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B62B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ylviok\Documents\REQUERIMENTO_Informacoes_PremiumII_Petrobra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EAA7AA6-1BF3-4CED-9066-42AC47C1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REQUERIMENTO_Informacoes_PremiumII_Petrobras.dotx</Template>
  <TotalTime>1</TotalTime>
  <Pages>2</Pages>
  <Words>428</Words>
  <Characters>2317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SYLVIOK</dc:creator>
  <cp:lastModifiedBy>Talita Kaczan de Freitas</cp:lastModifiedBy>
  <cp:revision>2</cp:revision>
  <cp:lastPrinted>2015-11-25T19:39:00Z</cp:lastPrinted>
  <dcterms:created xsi:type="dcterms:W3CDTF">2016-02-17T22:32:00Z</dcterms:created>
  <dcterms:modified xsi:type="dcterms:W3CDTF">2016-02-17T22:32:00Z</dcterms:modified>
</cp:coreProperties>
</file>