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CB" w:rsidRPr="00987364" w:rsidRDefault="000D5FCB" w:rsidP="000D5FCB">
      <w:pPr>
        <w:pStyle w:val="01-Minuta-CLG"/>
      </w:pPr>
    </w:p>
    <w:p w:rsidR="000D5FCB" w:rsidRDefault="000C6886" w:rsidP="000D5FCB">
      <w:pPr>
        <w:pStyle w:val="02-TtuloPrincipal-CLG"/>
      </w:pPr>
      <w:r>
        <w:rPr>
          <w:caps/>
        </w:rPr>
        <w:t>Projeto de Lei do Senado Nº</w:t>
      </w:r>
      <w:r w:rsidR="000D5FCB">
        <w:t xml:space="preserve"> </w:t>
      </w:r>
      <w:r w:rsidR="00F01573">
        <w:t>379</w:t>
      </w:r>
      <w:bookmarkStart w:id="0" w:name="_GoBack"/>
      <w:bookmarkEnd w:id="0"/>
      <w:r w:rsidR="000D5FCB">
        <w:t xml:space="preserve">, DE </w:t>
      </w:r>
      <w:proofErr w:type="gramStart"/>
      <w:r w:rsidR="000D5FCB">
        <w:t>2016</w:t>
      </w:r>
      <w:proofErr w:type="gramEnd"/>
    </w:p>
    <w:p w:rsidR="000D5FCB" w:rsidRPr="00906470" w:rsidRDefault="00E76C28" w:rsidP="000D5FCB">
      <w:pPr>
        <w:pStyle w:val="03-Ementa-CLG"/>
        <w:rPr>
          <w:szCs w:val="11"/>
        </w:rPr>
      </w:pPr>
      <w:r>
        <w:t xml:space="preserve">Disciplina o repasse de recursos </w:t>
      </w:r>
      <w:r w:rsidR="000131DD">
        <w:t>federais aos Estados, ao Distrito Federal e aos Municípios para apoio às ações de defesa agropecuária.</w:t>
      </w:r>
    </w:p>
    <w:p w:rsidR="000D5FCB" w:rsidRDefault="00FB6FFD" w:rsidP="000D5FCB">
      <w:pPr>
        <w:pStyle w:val="05-Pargrafodetexto-CLG"/>
      </w:pPr>
      <w:r>
        <w:t>O CONGRESSO NACIONAL decreta:</w:t>
      </w:r>
    </w:p>
    <w:p w:rsidR="000D5FCB" w:rsidRDefault="00E629EC" w:rsidP="000D5FCB">
      <w:pPr>
        <w:pStyle w:val="05-Pargrafodetexto-CLG"/>
      </w:pPr>
      <w:r w:rsidRPr="00BE6C62">
        <w:rPr>
          <w:b/>
        </w:rPr>
        <w:t>Art. 1º</w:t>
      </w:r>
      <w:r>
        <w:t xml:space="preserve"> Esta Lei disciplina o repasse de recursos federais aos Estados, ao Distrito Federal e aos Municípios para apoio às ações de defesa agropecuária.</w:t>
      </w:r>
    </w:p>
    <w:p w:rsidR="00BE6C62" w:rsidRDefault="00E629EC" w:rsidP="000D5FCB">
      <w:pPr>
        <w:pStyle w:val="05-Pargrafodetexto-CLG"/>
      </w:pPr>
      <w:r w:rsidRPr="00BE6C62">
        <w:rPr>
          <w:b/>
        </w:rPr>
        <w:t>Art. 2º</w:t>
      </w:r>
      <w:r w:rsidR="003C3F42">
        <w:rPr>
          <w:b/>
        </w:rPr>
        <w:t xml:space="preserve"> </w:t>
      </w:r>
      <w:r w:rsidR="00423656">
        <w:t xml:space="preserve">Os recursos consignados no Orçamento Geral da União </w:t>
      </w:r>
      <w:r w:rsidR="00FB5FAB">
        <w:t xml:space="preserve">e destinados à cooperação, </w:t>
      </w:r>
      <w:r w:rsidR="00436985">
        <w:t xml:space="preserve">ao </w:t>
      </w:r>
      <w:r w:rsidR="00FB5FAB">
        <w:t xml:space="preserve">auxílio ou </w:t>
      </w:r>
      <w:r w:rsidR="00436985">
        <w:t xml:space="preserve">à </w:t>
      </w:r>
      <w:r w:rsidR="00FB5FAB">
        <w:t>assistência financeira às ações de defesa agropecuária</w:t>
      </w:r>
      <w:r w:rsidR="0049215F">
        <w:t>,</w:t>
      </w:r>
      <w:r w:rsidR="00FB5FAB">
        <w:t xml:space="preserve"> no âmbito dos Estados, do Distrito Federal e dos Municípios</w:t>
      </w:r>
      <w:r w:rsidR="0049215F">
        <w:t>,</w:t>
      </w:r>
      <w:r w:rsidR="00995FEE">
        <w:t xml:space="preserve"> </w:t>
      </w:r>
      <w:r w:rsidR="000818CC">
        <w:t>serão</w:t>
      </w:r>
      <w:r w:rsidR="00FB5FAB">
        <w:t xml:space="preserve"> transferidos </w:t>
      </w:r>
      <w:r w:rsidR="000818CC">
        <w:t xml:space="preserve">diretamente </w:t>
      </w:r>
      <w:r w:rsidR="00BE6C62">
        <w:t>para os entes favorecidos mediante depósito em</w:t>
      </w:r>
      <w:r w:rsidR="00FB5FAB">
        <w:t xml:space="preserve"> contas correntes </w:t>
      </w:r>
      <w:r w:rsidR="00BE6C62">
        <w:t>abertas</w:t>
      </w:r>
      <w:r w:rsidR="003C3F42">
        <w:t xml:space="preserve"> </w:t>
      </w:r>
      <w:r w:rsidR="00BE6C62">
        <w:t xml:space="preserve">especificamente </w:t>
      </w:r>
      <w:r w:rsidR="00FB5FAB">
        <w:t>para esse fim</w:t>
      </w:r>
      <w:r w:rsidR="000818CC">
        <w:t>, independentemente da celebração de convênio ou instrumento congênere</w:t>
      </w:r>
      <w:r w:rsidR="00B457C4">
        <w:t>, de acordo com os critérios estabelecidos nesta Lei.</w:t>
      </w:r>
    </w:p>
    <w:p w:rsidR="007827F2" w:rsidRDefault="007827F2" w:rsidP="000D5FCB">
      <w:pPr>
        <w:pStyle w:val="05-Pargrafodetexto-CLG"/>
      </w:pPr>
      <w:r>
        <w:t xml:space="preserve">§ 1º Os recursos </w:t>
      </w:r>
      <w:r w:rsidR="000C0591">
        <w:t xml:space="preserve">de que trata o </w:t>
      </w:r>
      <w:r w:rsidR="000C0591" w:rsidRPr="000C0591">
        <w:rPr>
          <w:i/>
        </w:rPr>
        <w:t>caput</w:t>
      </w:r>
      <w:r w:rsidR="003C3F42">
        <w:rPr>
          <w:i/>
        </w:rPr>
        <w:t xml:space="preserve"> </w:t>
      </w:r>
      <w:r>
        <w:t>serão transferidos mensalmente</w:t>
      </w:r>
      <w:r w:rsidR="00377873">
        <w:t xml:space="preserve"> na proporção de um duodécimo do </w:t>
      </w:r>
      <w:r w:rsidR="00A20A8F">
        <w:t xml:space="preserve">total </w:t>
      </w:r>
      <w:r w:rsidR="00377873">
        <w:t xml:space="preserve">da dotação orçamentária </w:t>
      </w:r>
      <w:r w:rsidR="00A20A8F">
        <w:t xml:space="preserve">prevista </w:t>
      </w:r>
      <w:r w:rsidR="00377873">
        <w:t>para o exercício.</w:t>
      </w:r>
    </w:p>
    <w:p w:rsidR="002B445C" w:rsidRDefault="002B445C" w:rsidP="000D5FCB">
      <w:pPr>
        <w:pStyle w:val="05-Pargrafodetexto-CLG"/>
      </w:pPr>
      <w:r>
        <w:t>§ 2º Quando</w:t>
      </w:r>
      <w:r w:rsidR="00C451AF">
        <w:t>,</w:t>
      </w:r>
      <w:r>
        <w:t xml:space="preserve"> em virtude de contingenciamento orçamentário</w:t>
      </w:r>
      <w:r w:rsidR="00C451AF">
        <w:t>,</w:t>
      </w:r>
      <w:r>
        <w:t xml:space="preserve"> o montante </w:t>
      </w:r>
      <w:r w:rsidR="00C451AF">
        <w:t xml:space="preserve">efetivamente </w:t>
      </w:r>
      <w:r>
        <w:t>transferido for inferior à parcela calculada na forma do § 1º</w:t>
      </w:r>
      <w:r w:rsidR="00C451AF">
        <w:t>,</w:t>
      </w:r>
      <w:r>
        <w:t xml:space="preserve"> a transferência será proporcional à parcela devida a cada ente, compensando-se</w:t>
      </w:r>
      <w:r w:rsidR="003E0B29">
        <w:t>,</w:t>
      </w:r>
      <w:r>
        <w:t xml:space="preserve"> nos meses subsequentes</w:t>
      </w:r>
      <w:r w:rsidR="003E0B29">
        <w:t>,</w:t>
      </w:r>
      <w:r>
        <w:t xml:space="preserve"> os valores contingenciados</w:t>
      </w:r>
      <w:r w:rsidR="00C451AF">
        <w:t>, na medida da disponibilidade orçamentária</w:t>
      </w:r>
      <w:r>
        <w:t>.</w:t>
      </w:r>
    </w:p>
    <w:p w:rsidR="00E629EC" w:rsidRDefault="00BE6C62" w:rsidP="000D5FCB">
      <w:pPr>
        <w:pStyle w:val="05-Pargrafodetexto-CLG"/>
      </w:pPr>
      <w:r>
        <w:t xml:space="preserve">§ </w:t>
      </w:r>
      <w:r w:rsidR="002B445C">
        <w:t>3</w:t>
      </w:r>
      <w:r>
        <w:t xml:space="preserve">º As contas correntes mencionadas no </w:t>
      </w:r>
      <w:r w:rsidRPr="00BE6C62">
        <w:rPr>
          <w:i/>
        </w:rPr>
        <w:t>caput</w:t>
      </w:r>
      <w:r>
        <w:t xml:space="preserve"> deverão ser abertas em instituição financeira oficial federal</w:t>
      </w:r>
      <w:r w:rsidR="00FB5FAB">
        <w:t>.</w:t>
      </w:r>
    </w:p>
    <w:p w:rsidR="00026184" w:rsidRDefault="00026184" w:rsidP="000D5FCB">
      <w:pPr>
        <w:pStyle w:val="05-Pargrafodetexto-CLG"/>
      </w:pPr>
      <w:r>
        <w:t xml:space="preserve">§ </w:t>
      </w:r>
      <w:r w:rsidR="002B445C">
        <w:t>4</w:t>
      </w:r>
      <w:r>
        <w:t>º É vedada a utilização dos recursos descentralizados na forma deste artigo para o custeio de despesas obrigatórias de caráter continuado.</w:t>
      </w:r>
    </w:p>
    <w:p w:rsidR="00002111" w:rsidRDefault="00002111" w:rsidP="000D5FCB">
      <w:pPr>
        <w:pStyle w:val="05-Pargrafodetexto-CLG"/>
      </w:pPr>
      <w:r>
        <w:lastRenderedPageBreak/>
        <w:t xml:space="preserve">§ </w:t>
      </w:r>
      <w:r w:rsidR="002B445C">
        <w:t>5</w:t>
      </w:r>
      <w:r>
        <w:t>º O regulamento estabelecerá critérios mínimos de</w:t>
      </w:r>
      <w:r w:rsidR="00714759">
        <w:t xml:space="preserve"> </w:t>
      </w:r>
      <w:r>
        <w:t>estrutura</w:t>
      </w:r>
      <w:r w:rsidR="001727EE">
        <w:t xml:space="preserve"> institucional,</w:t>
      </w:r>
      <w:r>
        <w:t xml:space="preserve"> física e de recursos humanos a serem atendidos pelos entes favorecidos para se habilitarem ao repasse de que trata o </w:t>
      </w:r>
      <w:r w:rsidRPr="00002111">
        <w:rPr>
          <w:i/>
        </w:rPr>
        <w:t>caput</w:t>
      </w:r>
      <w:r>
        <w:t>.</w:t>
      </w:r>
    </w:p>
    <w:p w:rsidR="00954804" w:rsidRDefault="00954804" w:rsidP="000D5FCB">
      <w:pPr>
        <w:pStyle w:val="05-Pargrafodetexto-CLG"/>
      </w:pPr>
      <w:r>
        <w:t xml:space="preserve">§ </w:t>
      </w:r>
      <w:r w:rsidR="00640F3A">
        <w:t>6</w:t>
      </w:r>
      <w:r>
        <w:t xml:space="preserve">º </w:t>
      </w:r>
      <w:r w:rsidR="00640F3A">
        <w:t xml:space="preserve">O </w:t>
      </w:r>
      <w:r>
        <w:t xml:space="preserve">disposto no art. 25 da Lei Complementar nº 101, de </w:t>
      </w:r>
      <w:proofErr w:type="gramStart"/>
      <w:r>
        <w:t>4</w:t>
      </w:r>
      <w:proofErr w:type="gramEnd"/>
      <w:r>
        <w:t xml:space="preserve"> de maio de 2000</w:t>
      </w:r>
      <w:r w:rsidR="00640F3A">
        <w:t>, não se aplica às transferências de que trata esta Lei</w:t>
      </w:r>
      <w:r>
        <w:t>.</w:t>
      </w:r>
    </w:p>
    <w:p w:rsidR="00BE6C62" w:rsidRDefault="00BE6C62" w:rsidP="000D5FCB">
      <w:pPr>
        <w:pStyle w:val="05-Pargrafodetexto-CLG"/>
      </w:pPr>
      <w:r w:rsidRPr="0098696A">
        <w:rPr>
          <w:b/>
        </w:rPr>
        <w:t>Art. 3º</w:t>
      </w:r>
      <w:r>
        <w:t xml:space="preserve"> As ações de defesa agropecuária </w:t>
      </w:r>
      <w:r w:rsidR="00C55FBA">
        <w:t>contempladas com a transferência direta de que trata esta Lei devem estar previst</w:t>
      </w:r>
      <w:r w:rsidR="00026184">
        <w:t>a</w:t>
      </w:r>
      <w:r w:rsidR="00C55FBA">
        <w:t>s em Planos Plurianuais de Atenção à Sanidade Agropecuária</w:t>
      </w:r>
      <w:r w:rsidR="009E097A">
        <w:t>, apresentado pelos estados e aprovado pelo Ministério de Agricultura, Pecuária e Abastecimento</w:t>
      </w:r>
      <w:r w:rsidR="004772AD">
        <w:t xml:space="preserve"> para o período de cinco anos</w:t>
      </w:r>
      <w:r w:rsidR="00C55FBA">
        <w:t>, nos termos do regulamento do Sistema Unificado de Atenção à Sanidade Agropecuária (SUASA).</w:t>
      </w:r>
    </w:p>
    <w:p w:rsidR="004772AD" w:rsidRDefault="004772AD" w:rsidP="00D5297B">
      <w:pPr>
        <w:pStyle w:val="05-Pargrafodetexto-CLG"/>
      </w:pPr>
      <w:r>
        <w:t xml:space="preserve">§ 1º </w:t>
      </w:r>
      <w:r w:rsidRPr="004772AD">
        <w:t xml:space="preserve">Os Planos Plurianuais de Atenção à Sanidade Agropecuária definirão as metas, as responsabilidades respectivas de cada </w:t>
      </w:r>
      <w:r>
        <w:t>i</w:t>
      </w:r>
      <w:r w:rsidRPr="004772AD">
        <w:t>nstância, os recursos necessários, inclusive contrapartidas financeiras, e fontes de financiamento.</w:t>
      </w:r>
    </w:p>
    <w:p w:rsidR="00D5297B" w:rsidRDefault="00D5297B" w:rsidP="00D5297B">
      <w:pPr>
        <w:pStyle w:val="05-Pargrafodetexto-CLG"/>
      </w:pPr>
      <w:r>
        <w:t xml:space="preserve">§ </w:t>
      </w:r>
      <w:r w:rsidR="004772AD">
        <w:t>2</w:t>
      </w:r>
      <w:r>
        <w:t xml:space="preserve">º </w:t>
      </w:r>
      <w:r w:rsidR="00B35E94">
        <w:t>Os recursos orçamentários necessários ao financiamento das ações previstas no</w:t>
      </w:r>
      <w:r w:rsidR="00B35E94" w:rsidRPr="00B35E94">
        <w:t xml:space="preserve">s Planos Plurianuais de Atenção à Sanidade Agropecuária, nas diversas instâncias do </w:t>
      </w:r>
      <w:proofErr w:type="spellStart"/>
      <w:r w:rsidR="00B35E94" w:rsidRPr="00B35E94">
        <w:t>S</w:t>
      </w:r>
      <w:r w:rsidR="003E0B29">
        <w:t>uasa</w:t>
      </w:r>
      <w:proofErr w:type="spellEnd"/>
      <w:r w:rsidR="00B35E94" w:rsidRPr="00B35E94">
        <w:t xml:space="preserve">, </w:t>
      </w:r>
      <w:r>
        <w:t xml:space="preserve">deverão </w:t>
      </w:r>
      <w:r w:rsidR="00B35E94">
        <w:t>constar de</w:t>
      </w:r>
      <w:r w:rsidR="008A2ED5">
        <w:t xml:space="preserve"> </w:t>
      </w:r>
      <w:r w:rsidR="0048530C">
        <w:t xml:space="preserve">uma única </w:t>
      </w:r>
      <w:r>
        <w:t>proposta orçamentária</w:t>
      </w:r>
      <w:r w:rsidR="008A2ED5">
        <w:t xml:space="preserve"> </w:t>
      </w:r>
      <w:r w:rsidR="0048530C">
        <w:t>que contemple o conjunto das seguintes</w:t>
      </w:r>
      <w:r>
        <w:t xml:space="preserve"> atividades:</w:t>
      </w:r>
    </w:p>
    <w:p w:rsidR="00D5297B" w:rsidRDefault="00D5297B" w:rsidP="00D5297B">
      <w:pPr>
        <w:pStyle w:val="05-Pargrafodetexto-CLG"/>
      </w:pPr>
      <w:r>
        <w:t xml:space="preserve">I </w:t>
      </w:r>
      <w:proofErr w:type="gramStart"/>
      <w:r w:rsidR="003E0B29">
        <w:t>–</w:t>
      </w:r>
      <w:r>
        <w:t>vigilância</w:t>
      </w:r>
      <w:proofErr w:type="gramEnd"/>
      <w:r>
        <w:t xml:space="preserve"> e defesa sanitária vegetal;</w:t>
      </w:r>
    </w:p>
    <w:p w:rsidR="00D5297B" w:rsidRDefault="00D5297B" w:rsidP="00D5297B">
      <w:pPr>
        <w:pStyle w:val="05-Pargrafodetexto-CLG"/>
      </w:pPr>
      <w:r>
        <w:t xml:space="preserve">II </w:t>
      </w:r>
      <w:proofErr w:type="gramStart"/>
      <w:r w:rsidR="003E0B29">
        <w:t>–</w:t>
      </w:r>
      <w:r>
        <w:t>vigilância</w:t>
      </w:r>
      <w:proofErr w:type="gramEnd"/>
      <w:r>
        <w:t xml:space="preserve"> e defesa sanitária animal;</w:t>
      </w:r>
    </w:p>
    <w:p w:rsidR="00D5297B" w:rsidRDefault="00D5297B" w:rsidP="00D5297B">
      <w:pPr>
        <w:pStyle w:val="05-Pargrafodetexto-CLG"/>
      </w:pPr>
      <w:r>
        <w:t xml:space="preserve">III </w:t>
      </w:r>
      <w:r w:rsidR="003E0B29">
        <w:t>–</w:t>
      </w:r>
      <w:r>
        <w:t xml:space="preserve"> inspeção e classificação de produtos de origem vegetal, seus derivados, subprodutos e resíduos de valor econômico;</w:t>
      </w:r>
    </w:p>
    <w:p w:rsidR="00D5297B" w:rsidRDefault="00D5297B" w:rsidP="00D5297B">
      <w:pPr>
        <w:pStyle w:val="05-Pargrafodetexto-CLG"/>
      </w:pPr>
      <w:r>
        <w:t xml:space="preserve">IV </w:t>
      </w:r>
      <w:proofErr w:type="gramStart"/>
      <w:r w:rsidR="003E0B29">
        <w:t>–</w:t>
      </w:r>
      <w:r>
        <w:t>inspeção</w:t>
      </w:r>
      <w:proofErr w:type="gramEnd"/>
      <w:r>
        <w:t xml:space="preserve"> e classificação de produtos de origem animal, seus derivados, subprodutos e resíduos de valor econômico; e</w:t>
      </w:r>
    </w:p>
    <w:p w:rsidR="00D5297B" w:rsidRDefault="00D5297B" w:rsidP="00D5297B">
      <w:pPr>
        <w:pStyle w:val="05-Pargrafodetexto-CLG"/>
      </w:pPr>
      <w:r>
        <w:t xml:space="preserve">V </w:t>
      </w:r>
      <w:proofErr w:type="gramStart"/>
      <w:r w:rsidR="003E0B29">
        <w:t>–</w:t>
      </w:r>
      <w:r>
        <w:t>fiscalização</w:t>
      </w:r>
      <w:proofErr w:type="gramEnd"/>
      <w:r>
        <w:t xml:space="preserve"> dos insumos e dos serviços usados nas atividades agropecuárias.</w:t>
      </w:r>
    </w:p>
    <w:p w:rsidR="00011C85" w:rsidRDefault="00011C85" w:rsidP="00D5297B">
      <w:pPr>
        <w:pStyle w:val="05-Pargrafodetexto-CLG"/>
      </w:pPr>
      <w:r>
        <w:t xml:space="preserve">§ 3º </w:t>
      </w:r>
      <w:r w:rsidRPr="00011C85">
        <w:t xml:space="preserve">Os Planos Plurianuais de Atenção à Sanidade Agropecuária </w:t>
      </w:r>
      <w:r>
        <w:t>serão</w:t>
      </w:r>
      <w:r w:rsidR="00FB6CA8">
        <w:t xml:space="preserve"> </w:t>
      </w:r>
      <w:r>
        <w:t>revistos</w:t>
      </w:r>
      <w:r w:rsidR="00FB6CA8">
        <w:t xml:space="preserve"> </w:t>
      </w:r>
      <w:r>
        <w:t>anualmente, podendo, ainda, ser ajustados a qualquer tempo em razão da superveniência de fato imprevisível e relevante</w:t>
      </w:r>
      <w:r w:rsidRPr="00011C85">
        <w:t>.</w:t>
      </w:r>
    </w:p>
    <w:p w:rsidR="00427D01" w:rsidRDefault="00D5297B" w:rsidP="00D5297B">
      <w:pPr>
        <w:pStyle w:val="05-Pargrafodetexto-CLG"/>
      </w:pPr>
      <w:r>
        <w:lastRenderedPageBreak/>
        <w:t xml:space="preserve">§ </w:t>
      </w:r>
      <w:r w:rsidR="00011C85">
        <w:t>4</w:t>
      </w:r>
      <w:r>
        <w:t>º</w:t>
      </w:r>
      <w:r w:rsidR="00427D01">
        <w:t xml:space="preserve"> Poderão ser descentralizados recursos mediante convênio ou instrumento congênere quando, cumulativamente, o ente favorecido não atenda às condições para a realização da transferência direta e haja necessidade de financiamento de ações priorizadas nos Planos Plurianuais de Atenção à Sanidade Agropecuária.</w:t>
      </w:r>
    </w:p>
    <w:p w:rsidR="006613D7" w:rsidRDefault="000B3439" w:rsidP="000D5FCB">
      <w:pPr>
        <w:pStyle w:val="05-Pargrafodetexto-CLG"/>
      </w:pPr>
      <w:r w:rsidRPr="00A3408A">
        <w:rPr>
          <w:b/>
        </w:rPr>
        <w:t>Art. 4º</w:t>
      </w:r>
      <w:r>
        <w:t xml:space="preserve"> Os recursos </w:t>
      </w:r>
      <w:r w:rsidR="00A3408A">
        <w:t xml:space="preserve">destinados à descentralização por meio das transferências diretas de que trata esta Lei </w:t>
      </w:r>
      <w:r w:rsidR="004176CF">
        <w:t>serão</w:t>
      </w:r>
      <w:r w:rsidR="00A3408A">
        <w:t xml:space="preserve"> distribuídos entre os entes favorecidos</w:t>
      </w:r>
      <w:r w:rsidR="003E0B29">
        <w:t>,</w:t>
      </w:r>
      <w:r w:rsidR="00A3408A">
        <w:t xml:space="preserve"> observando-se</w:t>
      </w:r>
      <w:r w:rsidR="0059123B">
        <w:t xml:space="preserve"> o </w:t>
      </w:r>
      <w:proofErr w:type="spellStart"/>
      <w:r w:rsidR="0059123B">
        <w:t>atingimento</w:t>
      </w:r>
      <w:proofErr w:type="spellEnd"/>
      <w:r w:rsidR="0059123B">
        <w:t xml:space="preserve"> das metas estipuladas nos períodos anteriores</w:t>
      </w:r>
      <w:r w:rsidR="002D374F">
        <w:t xml:space="preserve">. </w:t>
      </w:r>
    </w:p>
    <w:p w:rsidR="000B3439" w:rsidRPr="00B457C4" w:rsidRDefault="00B457C4" w:rsidP="00B457C4">
      <w:pPr>
        <w:pStyle w:val="05-Pargrafodetexto-CLG"/>
      </w:pPr>
      <w:r>
        <w:t xml:space="preserve">§ </w:t>
      </w:r>
      <w:r w:rsidR="006613D7" w:rsidRPr="00B457C4">
        <w:t xml:space="preserve">1º </w:t>
      </w:r>
      <w:r w:rsidR="002D374F" w:rsidRPr="00B457C4">
        <w:t>O</w:t>
      </w:r>
      <w:r w:rsidR="00A3408A" w:rsidRPr="00B457C4">
        <w:t xml:space="preserve">s </w:t>
      </w:r>
      <w:r w:rsidR="00610A62" w:rsidRPr="00B457C4">
        <w:t>seguintes parâmetros</w:t>
      </w:r>
      <w:r w:rsidR="002D374F" w:rsidRPr="00B457C4">
        <w:t xml:space="preserve"> e</w:t>
      </w:r>
      <w:r w:rsidR="00995FEE" w:rsidRPr="00B457C4">
        <w:t xml:space="preserve"> respectivas fontes de informação</w:t>
      </w:r>
      <w:r w:rsidR="002D374F" w:rsidRPr="00B457C4">
        <w:t>, devem ser considerad</w:t>
      </w:r>
      <w:r w:rsidR="00544D01" w:rsidRPr="00B457C4">
        <w:t>o</w:t>
      </w:r>
      <w:r w:rsidR="002D374F" w:rsidRPr="00B457C4">
        <w:t>s como base, para o cálculo da proporcionalidade</w:t>
      </w:r>
      <w:r w:rsidR="00610A62" w:rsidRPr="00B457C4">
        <w:t>:</w:t>
      </w:r>
    </w:p>
    <w:p w:rsidR="00995FEE" w:rsidRPr="00995FEE" w:rsidRDefault="00995FEE" w:rsidP="00B457C4">
      <w:pPr>
        <w:pStyle w:val="05-Pargrafodetexto-CLG"/>
      </w:pPr>
      <w:r w:rsidRPr="00995FEE">
        <w:t xml:space="preserve">I - </w:t>
      </w:r>
      <w:r>
        <w:t>F</w:t>
      </w:r>
      <w:r w:rsidRPr="00995FEE">
        <w:t>ísicos e territoriais:</w:t>
      </w:r>
    </w:p>
    <w:p w:rsidR="00995FEE" w:rsidRPr="00995FEE" w:rsidRDefault="00995FEE" w:rsidP="00B457C4">
      <w:pPr>
        <w:pStyle w:val="05-Pargrafodetexto-CLG"/>
      </w:pPr>
      <w:r>
        <w:t xml:space="preserve">a) </w:t>
      </w:r>
      <w:r w:rsidRPr="00995FEE">
        <w:t>Área plantada (ha) – IBGE- Produção Agrícola Municipal</w:t>
      </w:r>
    </w:p>
    <w:p w:rsidR="00995FEE" w:rsidRDefault="002D374F" w:rsidP="00B457C4">
      <w:pPr>
        <w:pStyle w:val="05-Pargrafodetexto-CLG"/>
      </w:pPr>
      <w:r>
        <w:t xml:space="preserve">b) </w:t>
      </w:r>
      <w:r w:rsidR="00995FEE" w:rsidRPr="00995FEE">
        <w:t>Extensão de fronteiras internacionais (Km²) – IBGE</w:t>
      </w:r>
    </w:p>
    <w:p w:rsidR="00995FEE" w:rsidRPr="00995FEE" w:rsidRDefault="002D374F" w:rsidP="00B457C4">
      <w:pPr>
        <w:pStyle w:val="05-Pargrafodetexto-CLG"/>
      </w:pPr>
      <w:r>
        <w:t>c)</w:t>
      </w:r>
      <w:r w:rsidR="00995FEE" w:rsidRPr="00995FEE">
        <w:t xml:space="preserve"> </w:t>
      </w:r>
      <w:proofErr w:type="gramStart"/>
      <w:r w:rsidR="00995FEE" w:rsidRPr="00995FEE">
        <w:t>Imóveis rurais cadastrados – Cadastro</w:t>
      </w:r>
      <w:proofErr w:type="gramEnd"/>
      <w:r w:rsidR="00995FEE" w:rsidRPr="00995FEE">
        <w:t xml:space="preserve"> de imóveis rurais (</w:t>
      </w:r>
      <w:proofErr w:type="spellStart"/>
      <w:r w:rsidR="00995FEE" w:rsidRPr="00995FEE">
        <w:t>Cafir</w:t>
      </w:r>
      <w:proofErr w:type="spellEnd"/>
      <w:r w:rsidR="00995FEE" w:rsidRPr="00995FEE">
        <w:t>)</w:t>
      </w:r>
    </w:p>
    <w:p w:rsidR="00995FEE" w:rsidRPr="00995FEE" w:rsidRDefault="002D374F" w:rsidP="00B457C4">
      <w:pPr>
        <w:pStyle w:val="05-Pargrafodetexto-CLG"/>
      </w:pPr>
      <w:r>
        <w:t>II - T</w:t>
      </w:r>
      <w:r w:rsidR="00995FEE" w:rsidRPr="00995FEE">
        <w:t>écnicos e demográficos:</w:t>
      </w:r>
    </w:p>
    <w:p w:rsidR="00995FEE" w:rsidRPr="00995FEE" w:rsidRDefault="002D374F" w:rsidP="00B457C4">
      <w:pPr>
        <w:pStyle w:val="05-Pargrafodetexto-CLG"/>
      </w:pPr>
      <w:r>
        <w:t>a)</w:t>
      </w:r>
      <w:r w:rsidR="00995FEE" w:rsidRPr="00995FEE">
        <w:t xml:space="preserve"> Rebanhos bovídeos registrados (cabeças) – IBGE – Pesquisa Pecuária Municipal</w:t>
      </w:r>
    </w:p>
    <w:p w:rsidR="00995FEE" w:rsidRPr="00995FEE" w:rsidRDefault="00981143" w:rsidP="00B457C4">
      <w:pPr>
        <w:pStyle w:val="05-Pargrafodetexto-CLG"/>
      </w:pPr>
      <w:r>
        <w:t>b</w:t>
      </w:r>
      <w:r w:rsidR="002D374F">
        <w:t>)</w:t>
      </w:r>
      <w:r w:rsidR="00995FEE" w:rsidRPr="00995FEE">
        <w:t xml:space="preserve"> Galináceos registrados (cabeças) – IBGE – Pesquisa Pecuária Municipal</w:t>
      </w:r>
    </w:p>
    <w:p w:rsidR="00995FEE" w:rsidRPr="00995FEE" w:rsidRDefault="00B457C4" w:rsidP="00B457C4">
      <w:pPr>
        <w:pStyle w:val="05-Pargrafodetexto-CLG"/>
      </w:pPr>
      <w:r>
        <w:t>c</w:t>
      </w:r>
      <w:r w:rsidR="002D374F">
        <w:t>)</w:t>
      </w:r>
      <w:r w:rsidR="00995FEE" w:rsidRPr="00995FEE">
        <w:t xml:space="preserve"> Rebanhos suínos registrados (cabeças) – IBGE – Pesquisa Pecuária Municipal</w:t>
      </w:r>
    </w:p>
    <w:p w:rsidR="00995FEE" w:rsidRPr="00995FEE" w:rsidRDefault="00B457C4" w:rsidP="00B457C4">
      <w:pPr>
        <w:pStyle w:val="05-Pargrafodetexto-CLG"/>
      </w:pPr>
      <w:r>
        <w:t>d</w:t>
      </w:r>
      <w:r w:rsidR="002D374F">
        <w:t>)</w:t>
      </w:r>
      <w:r w:rsidR="00995FEE" w:rsidRPr="00995FEE">
        <w:t xml:space="preserve"> População rural – IBGE – Pesquisa Nacional por Amostra de Domicílio</w:t>
      </w:r>
    </w:p>
    <w:p w:rsidR="00995FEE" w:rsidRPr="00995FEE" w:rsidRDefault="002D374F" w:rsidP="00B457C4">
      <w:pPr>
        <w:pStyle w:val="05-Pargrafodetexto-CLG"/>
      </w:pPr>
      <w:r>
        <w:t>III - E</w:t>
      </w:r>
      <w:r w:rsidR="00995FEE" w:rsidRPr="00995FEE">
        <w:t>conômicos:</w:t>
      </w:r>
    </w:p>
    <w:p w:rsidR="00995FEE" w:rsidRPr="00995FEE" w:rsidRDefault="005C522D" w:rsidP="00B457C4">
      <w:pPr>
        <w:pStyle w:val="05-Pargrafodetexto-CLG"/>
      </w:pPr>
      <w:r>
        <w:lastRenderedPageBreak/>
        <w:t>a)</w:t>
      </w:r>
      <w:r w:rsidR="00995FEE" w:rsidRPr="00995FEE">
        <w:t xml:space="preserve"> Valor bruto da produção de lavouras (R$) – IBGE – levantamento sistemático da produção agrícola</w:t>
      </w:r>
    </w:p>
    <w:p w:rsidR="00995FEE" w:rsidRPr="00995FEE" w:rsidRDefault="005C522D" w:rsidP="00B457C4">
      <w:pPr>
        <w:pStyle w:val="05-Pargrafodetexto-CLG"/>
      </w:pPr>
      <w:r>
        <w:t>b)</w:t>
      </w:r>
      <w:r w:rsidR="00995FEE" w:rsidRPr="00995FEE">
        <w:t xml:space="preserve"> </w:t>
      </w:r>
      <w:proofErr w:type="gramStart"/>
      <w:r w:rsidR="00995FEE" w:rsidRPr="00995FEE">
        <w:t>Exportações agropecuária (U$)</w:t>
      </w:r>
      <w:proofErr w:type="gramEnd"/>
      <w:r w:rsidR="00995FEE" w:rsidRPr="00995FEE">
        <w:t xml:space="preserve"> – Ministério do Desenvolvimento, Indústria e Comércio exterior</w:t>
      </w:r>
    </w:p>
    <w:p w:rsidR="00995FEE" w:rsidRPr="00995FEE" w:rsidRDefault="005C522D" w:rsidP="00B457C4">
      <w:pPr>
        <w:pStyle w:val="05-Pargrafodetexto-CLG"/>
      </w:pPr>
      <w:r>
        <w:t>c)</w:t>
      </w:r>
      <w:r w:rsidR="00D756A8">
        <w:t xml:space="preserve"> Participação do pessoal o</w:t>
      </w:r>
      <w:r w:rsidR="00995FEE" w:rsidRPr="00995FEE">
        <w:t>cupado na agricultura familiar – IBGE – Censo Agropecuário</w:t>
      </w:r>
    </w:p>
    <w:p w:rsidR="006613D7" w:rsidRPr="00D756A8" w:rsidRDefault="00B8365A" w:rsidP="00B457C4">
      <w:pPr>
        <w:pStyle w:val="05-Pargrafodetexto-CLG"/>
      </w:pPr>
      <w:r w:rsidRPr="00D756A8">
        <w:t xml:space="preserve">§ </w:t>
      </w:r>
      <w:r w:rsidR="006613D7" w:rsidRPr="00D756A8">
        <w:t>2</w:t>
      </w:r>
      <w:r w:rsidRPr="00D756A8">
        <w:t>º</w:t>
      </w:r>
      <w:r w:rsidR="006613D7" w:rsidRPr="00D756A8">
        <w:t xml:space="preserve"> Poderão ser aplicados livremente até vinte por cento dos recursos de que trata esta Lei, a critério do Ministério da Agricultura, Pecuária e Abastecimento.</w:t>
      </w:r>
    </w:p>
    <w:p w:rsidR="00B8365A" w:rsidRPr="00D756A8" w:rsidRDefault="006613D7" w:rsidP="00B457C4">
      <w:pPr>
        <w:pStyle w:val="05-Pargrafodetexto-CLG"/>
      </w:pPr>
      <w:r w:rsidRPr="00D756A8">
        <w:t xml:space="preserve">§ 3º </w:t>
      </w:r>
      <w:r w:rsidR="00B8365A" w:rsidRPr="00D756A8">
        <w:t xml:space="preserve">O recurso de que trata </w:t>
      </w:r>
      <w:r w:rsidR="00981143" w:rsidRPr="00D756A8">
        <w:t>esta Lei</w:t>
      </w:r>
      <w:r w:rsidRPr="00D756A8">
        <w:t>,</w:t>
      </w:r>
      <w:r w:rsidR="00B8365A" w:rsidRPr="00D756A8">
        <w:t xml:space="preserve"> será repartido</w:t>
      </w:r>
      <w:r w:rsidR="00544D01" w:rsidRPr="00D756A8">
        <w:t xml:space="preserve"> anualmente</w:t>
      </w:r>
      <w:r w:rsidR="00B8365A" w:rsidRPr="00D756A8">
        <w:t xml:space="preserve"> entre as Unidades da Federação de acordo com a fórmula</w:t>
      </w:r>
      <w:r w:rsidRPr="00D756A8">
        <w:t xml:space="preserve"> constante do</w:t>
      </w:r>
      <w:r w:rsidR="00981143" w:rsidRPr="00D756A8">
        <w:t xml:space="preserve"> A</w:t>
      </w:r>
      <w:r w:rsidRPr="00D756A8">
        <w:t>nexo</w:t>
      </w:r>
      <w:r w:rsidR="00544D01" w:rsidRPr="00D756A8">
        <w:t>, aplicando-se os parâmetros descritos, que serão atualizados até 31 de dezembro do exercício anterior</w:t>
      </w:r>
      <w:r w:rsidR="00981143" w:rsidRPr="00D756A8">
        <w:t>,</w:t>
      </w:r>
      <w:r w:rsidR="00544D01" w:rsidRPr="00D756A8">
        <w:t xml:space="preserve"> por Portaria do Ministério da Agricultura, Pecuária e Abastecimento.</w:t>
      </w:r>
    </w:p>
    <w:p w:rsidR="00A36855" w:rsidRDefault="00AC0125" w:rsidP="00B457C4">
      <w:pPr>
        <w:pStyle w:val="05-Pargrafodetexto-CLG"/>
      </w:pPr>
      <w:r w:rsidRPr="00AC0125">
        <w:t xml:space="preserve">§ </w:t>
      </w:r>
      <w:r w:rsidR="0074530B">
        <w:t>4</w:t>
      </w:r>
      <w:r w:rsidRPr="00AC0125">
        <w:t>º</w:t>
      </w:r>
      <w:r w:rsidR="004176CF">
        <w:t xml:space="preserve"> A </w:t>
      </w:r>
      <w:r w:rsidR="00A36855">
        <w:t xml:space="preserve">priorização </w:t>
      </w:r>
      <w:r w:rsidR="00002111">
        <w:t xml:space="preserve">de culturas vegetais e rebanhos será </w:t>
      </w:r>
      <w:r w:rsidR="00A36855">
        <w:t>estabelecida nos Planos Plurianuais de Atenção à Sanidade Agropecuária;</w:t>
      </w:r>
    </w:p>
    <w:p w:rsidR="00AC0125" w:rsidRDefault="00AC0125" w:rsidP="00B457C4">
      <w:pPr>
        <w:pStyle w:val="05-Pargrafodetexto-CLG"/>
      </w:pPr>
      <w:r>
        <w:t xml:space="preserve">§ </w:t>
      </w:r>
      <w:r w:rsidR="0074530B">
        <w:t>5</w:t>
      </w:r>
      <w:r>
        <w:t xml:space="preserve">º </w:t>
      </w:r>
      <w:r w:rsidR="00B909AD">
        <w:t xml:space="preserve">Os recursos acrescidos por emendas parlamentares às ações de defesa agropecuária poderão ser destinados a um estado específico, </w:t>
      </w:r>
      <w:r w:rsidR="00D756A8">
        <w:t xml:space="preserve">podendo também alcançar </w:t>
      </w:r>
      <w:r w:rsidR="00B909AD">
        <w:t>os municípios localizados em seu territó</w:t>
      </w:r>
      <w:r w:rsidR="00C23373">
        <w:t>rio.</w:t>
      </w:r>
    </w:p>
    <w:p w:rsidR="0098696A" w:rsidRDefault="0098696A" w:rsidP="0098696A">
      <w:pPr>
        <w:pStyle w:val="05-Pargrafodetexto-CLG"/>
      </w:pPr>
      <w:r w:rsidRPr="0098696A">
        <w:rPr>
          <w:b/>
        </w:rPr>
        <w:t xml:space="preserve">Art. </w:t>
      </w:r>
      <w:r w:rsidR="00A3408A">
        <w:rPr>
          <w:b/>
        </w:rPr>
        <w:t>5</w:t>
      </w:r>
      <w:r w:rsidRPr="0098696A">
        <w:rPr>
          <w:b/>
        </w:rPr>
        <w:t>º</w:t>
      </w:r>
      <w:r>
        <w:t xml:space="preserve"> A </w:t>
      </w:r>
      <w:r w:rsidR="00610A62" w:rsidRPr="006606BF">
        <w:t>contrapartida</w:t>
      </w:r>
      <w:r>
        <w:t xml:space="preserve"> financeira dos entes favorecidos será depositada na conta específica aberta para o recebimento dos recursos descentralizados.</w:t>
      </w:r>
    </w:p>
    <w:p w:rsidR="001C32D9" w:rsidRDefault="0098696A" w:rsidP="00B457C4">
      <w:pPr>
        <w:pStyle w:val="05-Pargrafodetexto-CLG"/>
        <w:ind w:firstLine="0"/>
      </w:pPr>
      <w:r>
        <w:t xml:space="preserve">§ 1º O regulamento definirá os </w:t>
      </w:r>
      <w:r w:rsidR="004772AD">
        <w:t>critérios</w:t>
      </w:r>
      <w:r w:rsidR="003A2215">
        <w:t xml:space="preserve"> </w:t>
      </w:r>
      <w:r w:rsidR="004772AD">
        <w:t>para definição da</w:t>
      </w:r>
      <w:r>
        <w:t xml:space="preserve"> cont</w:t>
      </w:r>
      <w:r w:rsidR="007F6BA1">
        <w:t xml:space="preserve">rapartida financeira </w:t>
      </w:r>
      <w:r w:rsidR="00C626F3">
        <w:t>aplicável</w:t>
      </w:r>
      <w:r w:rsidR="007F6BA1">
        <w:t xml:space="preserve"> a cada ente favorecido </w:t>
      </w:r>
      <w:r w:rsidR="004772AD">
        <w:t>de forma que sejam considerados, pelo menos, os seguintes parâmetros</w:t>
      </w:r>
      <w:r w:rsidR="007F6BA1">
        <w:t>:</w:t>
      </w:r>
    </w:p>
    <w:p w:rsidR="007F6BA1" w:rsidRDefault="007F6BA1" w:rsidP="000D5FCB">
      <w:pPr>
        <w:pStyle w:val="05-Pargrafodetexto-CLG"/>
      </w:pPr>
      <w:r>
        <w:t xml:space="preserve">I </w:t>
      </w:r>
      <w:proofErr w:type="gramStart"/>
      <w:r w:rsidR="003E0B29">
        <w:t>–</w:t>
      </w:r>
      <w:r>
        <w:t>capacidade</w:t>
      </w:r>
      <w:proofErr w:type="gramEnd"/>
      <w:r>
        <w:t xml:space="preserve"> financeira da respectiva unidade da federação;</w:t>
      </w:r>
    </w:p>
    <w:p w:rsidR="007F6BA1" w:rsidRDefault="007F6BA1" w:rsidP="000D5FCB">
      <w:pPr>
        <w:pStyle w:val="05-Pargrafodetexto-CLG"/>
      </w:pPr>
      <w:r>
        <w:t xml:space="preserve">II </w:t>
      </w:r>
      <w:proofErr w:type="gramStart"/>
      <w:r w:rsidR="003E0B29">
        <w:t>–</w:t>
      </w:r>
      <w:r>
        <w:t>percentuais</w:t>
      </w:r>
      <w:proofErr w:type="gramEnd"/>
      <w:r>
        <w:t xml:space="preserve"> reduzidos para os beneficiários localizados </w:t>
      </w:r>
      <w:r w:rsidR="000B3439">
        <w:t>n</w:t>
      </w:r>
      <w:r>
        <w:t>as áreas de abrangência da</w:t>
      </w:r>
      <w:r w:rsidR="003E0B29">
        <w:t xml:space="preserve"> </w:t>
      </w:r>
      <w:proofErr w:type="spellStart"/>
      <w:r w:rsidR="003E0B29">
        <w:t>Sudene</w:t>
      </w:r>
      <w:proofErr w:type="spellEnd"/>
      <w:r w:rsidRPr="007F6BA1">
        <w:t>,</w:t>
      </w:r>
      <w:r w:rsidR="000B3439">
        <w:t xml:space="preserve"> da</w:t>
      </w:r>
      <w:r w:rsidR="00E620F8">
        <w:t xml:space="preserve"> </w:t>
      </w:r>
      <w:r w:rsidR="003E0B29">
        <w:t>Sudam</w:t>
      </w:r>
      <w:r w:rsidRPr="007F6BA1">
        <w:t xml:space="preserve"> e </w:t>
      </w:r>
      <w:r w:rsidR="000B3439">
        <w:t>da</w:t>
      </w:r>
      <w:r w:rsidR="00E620F8">
        <w:t xml:space="preserve"> </w:t>
      </w:r>
      <w:proofErr w:type="spellStart"/>
      <w:r w:rsidR="003E0B29">
        <w:t>Sudeco</w:t>
      </w:r>
      <w:proofErr w:type="spellEnd"/>
      <w:r w:rsidR="002E7396">
        <w:t>;</w:t>
      </w:r>
    </w:p>
    <w:p w:rsidR="002E7396" w:rsidRDefault="002E7396" w:rsidP="000D5FCB">
      <w:pPr>
        <w:pStyle w:val="05-Pargrafodetexto-CLG"/>
      </w:pPr>
      <w:r>
        <w:lastRenderedPageBreak/>
        <w:t xml:space="preserve">III </w:t>
      </w:r>
      <w:r w:rsidR="00026129">
        <w:t>–</w:t>
      </w:r>
      <w:r>
        <w:t xml:space="preserve"> percentuais reduzidos para municípios e estados localizados em área da faixa de fronteira</w:t>
      </w:r>
      <w:r w:rsidR="00A36855">
        <w:t>;</w:t>
      </w:r>
    </w:p>
    <w:p w:rsidR="00A36855" w:rsidRDefault="00A36855" w:rsidP="000D5FCB">
      <w:pPr>
        <w:pStyle w:val="05-Pargrafodetexto-CLG"/>
      </w:pPr>
      <w:r>
        <w:t xml:space="preserve">IV </w:t>
      </w:r>
      <w:proofErr w:type="gramStart"/>
      <w:r w:rsidR="006A6C9C">
        <w:t>–</w:t>
      </w:r>
      <w:r>
        <w:t>priorização</w:t>
      </w:r>
      <w:proofErr w:type="gramEnd"/>
      <w:r>
        <w:t xml:space="preserve"> estabelecida nos Planos Plurianuais de Atenção à Sanidade Agropecuária.</w:t>
      </w:r>
    </w:p>
    <w:p w:rsidR="00A3408A" w:rsidRDefault="000818CC" w:rsidP="000D5FCB">
      <w:pPr>
        <w:pStyle w:val="05-Pargrafodetexto-CLG"/>
      </w:pPr>
      <w:r>
        <w:t>§ 2º À descentralização de recursos destinados ao financiamento de ações atinentes à saúde pública</w:t>
      </w:r>
      <w:r w:rsidR="007D1707">
        <w:t xml:space="preserve">, realizado através da inspeção de produtos de origem </w:t>
      </w:r>
      <w:r w:rsidR="006E4B92">
        <w:t xml:space="preserve">animal e </w:t>
      </w:r>
      <w:r w:rsidR="007D1707">
        <w:t>vegetal, seus derivados, subprodutos</w:t>
      </w:r>
      <w:r>
        <w:t>, não se aplica a exigência de contrapartida.</w:t>
      </w:r>
    </w:p>
    <w:p w:rsidR="00C626F3" w:rsidRDefault="00C626F3" w:rsidP="000D5FCB">
      <w:pPr>
        <w:pStyle w:val="05-Pargrafodetexto-CLG"/>
      </w:pPr>
      <w:r>
        <w:t xml:space="preserve">§ 3º </w:t>
      </w:r>
      <w:r w:rsidR="002E2AC7">
        <w:t>É facultada a</w:t>
      </w:r>
      <w:r>
        <w:t xml:space="preserve"> contrapartida </w:t>
      </w:r>
      <w:r w:rsidR="002E2AC7">
        <w:t>em bens e serviços economicamente mensuráveis, a critério do gestor federal e nos termos dos Planos Plurianuais de Atenção à Sanidade Agropecuária.</w:t>
      </w:r>
    </w:p>
    <w:p w:rsidR="004772AD" w:rsidRDefault="004772AD" w:rsidP="000D5FCB">
      <w:pPr>
        <w:pStyle w:val="05-Pargrafodetexto-CLG"/>
      </w:pPr>
      <w:r w:rsidRPr="00F867E5">
        <w:rPr>
          <w:b/>
        </w:rPr>
        <w:t>Art. 6º</w:t>
      </w:r>
      <w:r w:rsidR="00A953C1">
        <w:rPr>
          <w:b/>
        </w:rPr>
        <w:t xml:space="preserve"> </w:t>
      </w:r>
      <w:r w:rsidR="00C350E0">
        <w:t>O ente favorecido deverá prestar contas mensalmente</w:t>
      </w:r>
      <w:r w:rsidR="007040E9">
        <w:t>, no mês subsequente ao de referência,</w:t>
      </w:r>
      <w:r w:rsidR="00C350E0">
        <w:t xml:space="preserve"> da regular aplicação dos recursos recebidos nos termos desta Lei</w:t>
      </w:r>
      <w:r w:rsidR="00C91164">
        <w:t xml:space="preserve">, podendo ser usado o </w:t>
      </w:r>
      <w:r w:rsidR="00FB1E31" w:rsidRPr="00FB1E31">
        <w:t xml:space="preserve">Sistema de Gestão de Convênios – </w:t>
      </w:r>
      <w:proofErr w:type="gramStart"/>
      <w:r w:rsidR="00C91164">
        <w:t>SICONV</w:t>
      </w:r>
      <w:proofErr w:type="gramEnd"/>
    </w:p>
    <w:p w:rsidR="00C350E0" w:rsidRDefault="00C350E0" w:rsidP="000D5FCB">
      <w:pPr>
        <w:pStyle w:val="05-Pargrafodetexto-CLG"/>
      </w:pPr>
      <w:r>
        <w:t>§ 1º A prestação de contas deverá conter no mínimo:</w:t>
      </w:r>
    </w:p>
    <w:p w:rsidR="00C350E0" w:rsidRDefault="00C350E0" w:rsidP="00C350E0">
      <w:pPr>
        <w:pStyle w:val="05-Pargrafodetexto-CLG"/>
      </w:pPr>
      <w:r>
        <w:t xml:space="preserve">I </w:t>
      </w:r>
      <w:proofErr w:type="gramStart"/>
      <w:r w:rsidR="006A6C9C">
        <w:t>–</w:t>
      </w:r>
      <w:r>
        <w:t>relatório</w:t>
      </w:r>
      <w:proofErr w:type="gramEnd"/>
      <w:r>
        <w:t xml:space="preserve"> de cumprimento de metas; </w:t>
      </w:r>
    </w:p>
    <w:p w:rsidR="00C350E0" w:rsidRDefault="00C350E0" w:rsidP="00C350E0">
      <w:pPr>
        <w:pStyle w:val="05-Pargrafodetexto-CLG"/>
      </w:pPr>
      <w:r>
        <w:t xml:space="preserve">II </w:t>
      </w:r>
      <w:proofErr w:type="gramStart"/>
      <w:r w:rsidR="006A6C9C">
        <w:t>–</w:t>
      </w:r>
      <w:r>
        <w:t>relação</w:t>
      </w:r>
      <w:proofErr w:type="gramEnd"/>
      <w:r>
        <w:t xml:space="preserve"> de pagamentos efetuados, com a identificação do credor; </w:t>
      </w:r>
    </w:p>
    <w:p w:rsidR="00C350E0" w:rsidRDefault="00C350E0" w:rsidP="00C350E0">
      <w:pPr>
        <w:pStyle w:val="05-Pargrafodetexto-CLG"/>
      </w:pPr>
      <w:r>
        <w:t xml:space="preserve">III </w:t>
      </w:r>
      <w:r w:rsidR="006A6C9C">
        <w:t>–</w:t>
      </w:r>
      <w:r>
        <w:t xml:space="preserve"> relação de bens adquiridos, produzidos ou construídos, quando for o caso; </w:t>
      </w:r>
    </w:p>
    <w:p w:rsidR="00C350E0" w:rsidRDefault="00C350E0" w:rsidP="00C350E0">
      <w:pPr>
        <w:pStyle w:val="05-Pargrafodetexto-CLG"/>
      </w:pPr>
      <w:r>
        <w:t xml:space="preserve">IV </w:t>
      </w:r>
      <w:proofErr w:type="gramStart"/>
      <w:r w:rsidR="006A6C9C">
        <w:t>–</w:t>
      </w:r>
      <w:r>
        <w:t>relação</w:t>
      </w:r>
      <w:proofErr w:type="gramEnd"/>
      <w:r>
        <w:t xml:space="preserve"> de treinados ou capacitados, quando for o caso; </w:t>
      </w:r>
    </w:p>
    <w:p w:rsidR="00C350E0" w:rsidRDefault="00C350E0" w:rsidP="00C350E0">
      <w:pPr>
        <w:pStyle w:val="05-Pargrafodetexto-CLG"/>
      </w:pPr>
      <w:r>
        <w:t xml:space="preserve">V </w:t>
      </w:r>
      <w:proofErr w:type="gramStart"/>
      <w:r w:rsidR="006A6C9C">
        <w:t>–</w:t>
      </w:r>
      <w:r>
        <w:t>relação</w:t>
      </w:r>
      <w:proofErr w:type="gramEnd"/>
      <w:r>
        <w:t xml:space="preserve"> dos serviços prestados, com identificação do credor; </w:t>
      </w:r>
    </w:p>
    <w:p w:rsidR="00C350E0" w:rsidRDefault="00C350E0" w:rsidP="00C350E0">
      <w:pPr>
        <w:pStyle w:val="05-Pargrafodetexto-CLG"/>
      </w:pPr>
      <w:r>
        <w:t xml:space="preserve">VI </w:t>
      </w:r>
      <w:proofErr w:type="gramStart"/>
      <w:r w:rsidR="006A6C9C">
        <w:t>–</w:t>
      </w:r>
      <w:r>
        <w:t>extrato</w:t>
      </w:r>
      <w:proofErr w:type="gramEnd"/>
      <w:r>
        <w:t xml:space="preserve"> bancário da conta corrente específica e das aplicações financeiras.</w:t>
      </w:r>
    </w:p>
    <w:p w:rsidR="00C350E0" w:rsidRDefault="00C350E0" w:rsidP="00C350E0">
      <w:pPr>
        <w:pStyle w:val="05-Pargrafodetexto-CLG"/>
      </w:pPr>
      <w:r>
        <w:t>§ 2º A prestação de contas será encaminhada prefer</w:t>
      </w:r>
      <w:r w:rsidR="009E0ED4">
        <w:t xml:space="preserve">encialmente por meio eletrônico e poderá ser objeto de auditoria pelo </w:t>
      </w:r>
      <w:r w:rsidR="009E0ED4">
        <w:lastRenderedPageBreak/>
        <w:t>ente repassador a qualquer tempo durante o prazo de guarda de seus documentos previsto nesta Lei.</w:t>
      </w:r>
    </w:p>
    <w:p w:rsidR="003276F7" w:rsidRDefault="00C350E0" w:rsidP="00C350E0">
      <w:pPr>
        <w:pStyle w:val="05-Pargrafodetexto-CLG"/>
      </w:pPr>
      <w:r>
        <w:t xml:space="preserve">§ 3º </w:t>
      </w:r>
      <w:r w:rsidR="00F6121B">
        <w:t>O</w:t>
      </w:r>
      <w:r>
        <w:t xml:space="preserve"> ente favorecido </w:t>
      </w:r>
      <w:r w:rsidR="00F6121B">
        <w:t xml:space="preserve">poderá </w:t>
      </w:r>
      <w:r>
        <w:t xml:space="preserve">ser dispensado da apresentação de extrato bancário quando </w:t>
      </w:r>
      <w:r w:rsidR="004B00DE">
        <w:t>conceder ao</w:t>
      </w:r>
      <w:r w:rsidR="00903667">
        <w:t xml:space="preserve"> </w:t>
      </w:r>
      <w:r w:rsidR="004B00DE">
        <w:t>preposto designado pelo ordenador de despesas federal acesso para consulta eletrônica de saldos e extratos da conta corrente e das aplicações financeiras a ela vinculadas</w:t>
      </w:r>
      <w:r w:rsidR="00B75386">
        <w:t>.</w:t>
      </w:r>
    </w:p>
    <w:p w:rsidR="00B75386" w:rsidRDefault="00B75386" w:rsidP="00C350E0">
      <w:pPr>
        <w:pStyle w:val="05-Pargrafodetexto-CLG"/>
      </w:pPr>
      <w:r>
        <w:t xml:space="preserve">§ 4º Os saldos remanescentes </w:t>
      </w:r>
      <w:r w:rsidR="002E2AC7">
        <w:t xml:space="preserve">ao fim do exercício nas contas correntes específicas dos entes favorecidos podem </w:t>
      </w:r>
      <w:r>
        <w:t>ser transferidos para o exercício subsequente mediante justificativa do ente favorecido e a critério do governo federal, observando-se o que dispuser o regulamento e os Planos Plurianuais de Atenção à Sanidade Agropecuária.</w:t>
      </w:r>
    </w:p>
    <w:p w:rsidR="00C350E0" w:rsidRDefault="003276F7" w:rsidP="00C350E0">
      <w:pPr>
        <w:pStyle w:val="05-Pargrafodetexto-CLG"/>
      </w:pPr>
      <w:r>
        <w:t xml:space="preserve">§ </w:t>
      </w:r>
      <w:r w:rsidR="00B75386">
        <w:t>5</w:t>
      </w:r>
      <w:r>
        <w:t xml:space="preserve">º </w:t>
      </w:r>
      <w:r w:rsidR="00F867E5">
        <w:t>Os documentos orig</w:t>
      </w:r>
      <w:r w:rsidR="0083055A">
        <w:t>i</w:t>
      </w:r>
      <w:r w:rsidR="00F867E5">
        <w:t>nais relativos à prestação de contas serão mantidos pelo ente beneficiário pelo prazo mínimo de cinco anos a contar da aprovação, pelo Tribunal de Contas da União, das contas do gestor federal relativas ao exercício de aplicação dos recursos</w:t>
      </w:r>
      <w:r w:rsidR="004B00DE">
        <w:t>.</w:t>
      </w:r>
    </w:p>
    <w:p w:rsidR="00B4328A" w:rsidRDefault="009E0ED4" w:rsidP="00D82FA2">
      <w:pPr>
        <w:pStyle w:val="05-Pargrafodetexto-CLG"/>
      </w:pPr>
      <w:r w:rsidRPr="00B75386">
        <w:rPr>
          <w:b/>
        </w:rPr>
        <w:t>Art. 7º</w:t>
      </w:r>
      <w:r w:rsidR="00602F90">
        <w:rPr>
          <w:b/>
        </w:rPr>
        <w:t xml:space="preserve"> </w:t>
      </w:r>
      <w:r w:rsidR="00B75386">
        <w:t xml:space="preserve">Devem ser disponibilizados </w:t>
      </w:r>
      <w:r w:rsidR="00D82FA2">
        <w:t xml:space="preserve">ao público, </w:t>
      </w:r>
      <w:r w:rsidR="00B75386">
        <w:t xml:space="preserve">em sítio da </w:t>
      </w:r>
      <w:r w:rsidR="00BB45D7">
        <w:t>I</w:t>
      </w:r>
      <w:r w:rsidR="00B75386">
        <w:t>nternet</w:t>
      </w:r>
      <w:r w:rsidR="00B4328A">
        <w:t>:</w:t>
      </w:r>
    </w:p>
    <w:p w:rsidR="00B4328A" w:rsidRDefault="00B4328A" w:rsidP="00D82FA2">
      <w:pPr>
        <w:pStyle w:val="05-Pargrafodetexto-CLG"/>
      </w:pPr>
      <w:r>
        <w:t xml:space="preserve">I </w:t>
      </w:r>
      <w:proofErr w:type="gramStart"/>
      <w:r w:rsidR="006A6C9C">
        <w:t>–</w:t>
      </w:r>
      <w:r w:rsidR="00B75386">
        <w:t>demonstrativos</w:t>
      </w:r>
      <w:proofErr w:type="gramEnd"/>
      <w:r w:rsidR="00B75386">
        <w:t xml:space="preserve"> dos recursos transferidos</w:t>
      </w:r>
      <w:r w:rsidR="00D82FA2">
        <w:t xml:space="preserve">, </w:t>
      </w:r>
      <w:r>
        <w:t xml:space="preserve">dos </w:t>
      </w:r>
      <w:r w:rsidR="00D82FA2">
        <w:t>saldos</w:t>
      </w:r>
      <w:r w:rsidR="00B75386">
        <w:t xml:space="preserve"> aplicados</w:t>
      </w:r>
      <w:r>
        <w:t xml:space="preserve"> e das</w:t>
      </w:r>
      <w:r w:rsidR="00D82FA2">
        <w:t xml:space="preserve"> despesas realizadas</w:t>
      </w:r>
      <w:r>
        <w:t>;</w:t>
      </w:r>
    </w:p>
    <w:p w:rsidR="00B4328A" w:rsidRDefault="00B4328A" w:rsidP="00D82FA2">
      <w:pPr>
        <w:pStyle w:val="05-Pargrafodetexto-CLG"/>
      </w:pPr>
      <w:r>
        <w:t xml:space="preserve">II </w:t>
      </w:r>
      <w:r w:rsidR="006A6C9C">
        <w:t>–</w:t>
      </w:r>
      <w:r w:rsidR="00C1194B">
        <w:t xml:space="preserve"> </w:t>
      </w:r>
      <w:r w:rsidR="00D82FA2">
        <w:t>o</w:t>
      </w:r>
      <w:r w:rsidR="00B75386">
        <w:t>s Planos Plurianuais de Atenção à Sanidade Agropecuária</w:t>
      </w:r>
      <w:r>
        <w:t>;</w:t>
      </w:r>
    </w:p>
    <w:p w:rsidR="009E0ED4" w:rsidRDefault="00B4328A" w:rsidP="00D82FA2">
      <w:pPr>
        <w:pStyle w:val="05-Pargrafodetexto-CLG"/>
      </w:pPr>
      <w:r>
        <w:t xml:space="preserve">III </w:t>
      </w:r>
      <w:proofErr w:type="gramStart"/>
      <w:r w:rsidR="006A6C9C">
        <w:t>–</w:t>
      </w:r>
      <w:r>
        <w:t>a</w:t>
      </w:r>
      <w:r w:rsidR="00B75386">
        <w:t>s</w:t>
      </w:r>
      <w:proofErr w:type="gramEnd"/>
      <w:r w:rsidR="00B75386">
        <w:t xml:space="preserve"> </w:t>
      </w:r>
      <w:r w:rsidR="009E0ED4">
        <w:t>prestações de contas</w:t>
      </w:r>
      <w:r w:rsidR="00D82FA2">
        <w:t>.</w:t>
      </w:r>
    </w:p>
    <w:p w:rsidR="00002111" w:rsidRDefault="00002111" w:rsidP="000D5FCB">
      <w:pPr>
        <w:pStyle w:val="05-Pargrafodetexto-CLG"/>
      </w:pPr>
      <w:r w:rsidRPr="00F867E5">
        <w:rPr>
          <w:b/>
        </w:rPr>
        <w:t xml:space="preserve">Art. </w:t>
      </w:r>
      <w:r w:rsidR="00B75386">
        <w:rPr>
          <w:b/>
        </w:rPr>
        <w:t>8</w:t>
      </w:r>
      <w:r w:rsidRPr="00F867E5">
        <w:rPr>
          <w:b/>
        </w:rPr>
        <w:t>º</w:t>
      </w:r>
      <w:r>
        <w:t xml:space="preserve"> Esta </w:t>
      </w:r>
      <w:r w:rsidR="0049215F">
        <w:t xml:space="preserve">Lei </w:t>
      </w:r>
      <w:r>
        <w:t xml:space="preserve">entra em vigor </w:t>
      </w:r>
      <w:r w:rsidR="00B4328A">
        <w:t>em 1º de janeiro do ano</w:t>
      </w:r>
      <w:r w:rsidR="006A1D94">
        <w:t xml:space="preserve"> </w:t>
      </w:r>
      <w:r w:rsidR="002E2AC7">
        <w:t xml:space="preserve">subsequente ao da </w:t>
      </w:r>
      <w:r>
        <w:t>sua publicação.</w:t>
      </w:r>
    </w:p>
    <w:p w:rsidR="006613D7" w:rsidRDefault="006613D7" w:rsidP="000D5FCB">
      <w:pPr>
        <w:pStyle w:val="05-Pargrafodetexto-CLG"/>
      </w:pPr>
    </w:p>
    <w:p w:rsidR="006613D7" w:rsidRDefault="006613D7" w:rsidP="000D5FCB">
      <w:pPr>
        <w:pStyle w:val="05-Pargrafodetexto-CLG"/>
      </w:pPr>
    </w:p>
    <w:p w:rsidR="00981143" w:rsidRDefault="00981143" w:rsidP="00B457C4">
      <w:pPr>
        <w:pStyle w:val="05-Pargrafodetexto-CLG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br w:type="page"/>
      </w:r>
    </w:p>
    <w:p w:rsidR="006613D7" w:rsidRPr="00C1194B" w:rsidRDefault="006613D7" w:rsidP="00B457C4">
      <w:pPr>
        <w:pStyle w:val="05-Pargrafodetexto-CLG"/>
        <w:ind w:firstLine="0"/>
        <w:jc w:val="center"/>
        <w:rPr>
          <w:b/>
          <w:sz w:val="40"/>
          <w:szCs w:val="40"/>
        </w:rPr>
      </w:pPr>
      <w:r w:rsidRPr="00C1194B">
        <w:rPr>
          <w:b/>
          <w:sz w:val="40"/>
          <w:szCs w:val="40"/>
        </w:rPr>
        <w:lastRenderedPageBreak/>
        <w:t>ANEXO</w:t>
      </w:r>
    </w:p>
    <w:p w:rsidR="006613D7" w:rsidRPr="00C1194B" w:rsidRDefault="006613D7" w:rsidP="00B457C4">
      <w:pPr>
        <w:pStyle w:val="05-Pargrafodetexto-CLG"/>
        <w:ind w:firstLine="0"/>
        <w:jc w:val="center"/>
        <w:rPr>
          <w:szCs w:val="28"/>
        </w:rPr>
      </w:pPr>
    </w:p>
    <w:p w:rsidR="006613D7" w:rsidRPr="00C1194B" w:rsidRDefault="005D4D69" w:rsidP="00B457C4">
      <w:pPr>
        <w:pStyle w:val="05-Pargrafodetexto-CLG"/>
        <w:ind w:firstLine="0"/>
        <w:jc w:val="center"/>
        <w:rPr>
          <w:szCs w:val="28"/>
        </w:rPr>
      </w:pPr>
      <w:r>
        <w:rPr>
          <w:noProof/>
          <w:szCs w:val="28"/>
        </w:rPr>
      </w: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DeTexto 37" o:spid="_x0000_s1026" type="#_x0000_t202" style="width:168.7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fill r:id="rId8" o:title="" recolor="t" type="frame"/>
            <o:lock v:ext="edit" rotation="t" aspectratio="t" position="t" verticies="t" text="t" adjusthandles="t" shapetype="t"/>
            <v:textbox>
              <w:txbxContent>
                <w:p w:rsidR="006613D7" w:rsidRDefault="006613D7" w:rsidP="006613D7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color w:val="FFFFFF" w:themeColor="background1"/>
                      <w:kern w:val="24"/>
                      <w:sz w:val="36"/>
                      <w:szCs w:val="36"/>
                    </w:rPr>
                    <w:t> </w:t>
                  </w:r>
                </w:p>
              </w:txbxContent>
            </v:textbox>
            <w10:wrap type="none"/>
            <w10:anchorlock/>
          </v:shape>
        </w:pict>
      </w:r>
      <w:r w:rsidR="006613D7" w:rsidRPr="00C1194B">
        <w:rPr>
          <w:szCs w:val="28"/>
        </w:rPr>
        <w:t>,</w:t>
      </w:r>
    </w:p>
    <w:p w:rsidR="006613D7" w:rsidRPr="00C1194B" w:rsidRDefault="006613D7" w:rsidP="00B457C4">
      <w:pPr>
        <w:pStyle w:val="05-Pargrafodetexto-CLG"/>
        <w:ind w:firstLine="0"/>
        <w:rPr>
          <w:szCs w:val="28"/>
        </w:rPr>
      </w:pPr>
      <w:r w:rsidRPr="00C1194B">
        <w:rPr>
          <w:szCs w:val="28"/>
        </w:rPr>
        <w:t>Onde,</w:t>
      </w:r>
    </w:p>
    <w:p w:rsidR="006613D7" w:rsidRPr="00C1194B" w:rsidRDefault="006613D7" w:rsidP="00B457C4">
      <w:pPr>
        <w:pStyle w:val="05-Pargrafodetexto-CLG"/>
        <w:ind w:firstLine="0"/>
        <w:rPr>
          <w:szCs w:val="28"/>
        </w:rPr>
      </w:pPr>
    </w:p>
    <w:p w:rsidR="006613D7" w:rsidRPr="00C1194B" w:rsidRDefault="006613D7" w:rsidP="00B457C4">
      <w:pPr>
        <w:pStyle w:val="05-Pargrafodetexto-CLG"/>
        <w:ind w:firstLine="0"/>
        <w:rPr>
          <w:szCs w:val="28"/>
        </w:rPr>
      </w:pPr>
      <w:r w:rsidRPr="00C1194B">
        <w:rPr>
          <w:szCs w:val="28"/>
        </w:rPr>
        <w:t>PE</w:t>
      </w:r>
      <w:r w:rsidR="00BE2A89" w:rsidRPr="00C1194B">
        <w:rPr>
          <w:szCs w:val="28"/>
        </w:rPr>
        <w:t xml:space="preserve"> é</w:t>
      </w:r>
      <w:proofErr w:type="gramStart"/>
      <w:r w:rsidR="00BE2A89" w:rsidRPr="00C1194B">
        <w:rPr>
          <w:szCs w:val="28"/>
        </w:rPr>
        <w:t xml:space="preserve"> </w:t>
      </w:r>
      <w:r w:rsidRPr="00C1194B">
        <w:rPr>
          <w:szCs w:val="28"/>
        </w:rPr>
        <w:t xml:space="preserve"> </w:t>
      </w:r>
      <w:proofErr w:type="gramEnd"/>
      <w:r w:rsidR="00BE2A89" w:rsidRPr="00C1194B">
        <w:rPr>
          <w:szCs w:val="28"/>
        </w:rPr>
        <w:t>p</w:t>
      </w:r>
      <w:r w:rsidRPr="00C1194B">
        <w:rPr>
          <w:szCs w:val="28"/>
        </w:rPr>
        <w:t>articipação de cada Estado</w:t>
      </w:r>
      <w:r w:rsidR="00BE2A89" w:rsidRPr="00C1194B">
        <w:rPr>
          <w:szCs w:val="28"/>
        </w:rPr>
        <w:t xml:space="preserve"> k</w:t>
      </w:r>
      <w:r w:rsidRPr="00C1194B">
        <w:rPr>
          <w:szCs w:val="28"/>
        </w:rPr>
        <w:t xml:space="preserve"> na distribuição dos recursos de que trata esta Lei</w:t>
      </w:r>
      <w:r w:rsidR="00544D01" w:rsidRPr="00C1194B">
        <w:rPr>
          <w:szCs w:val="28"/>
        </w:rPr>
        <w:t>;</w:t>
      </w:r>
    </w:p>
    <w:p w:rsidR="00BE2A89" w:rsidRPr="00C1194B" w:rsidRDefault="005D4D69" w:rsidP="00B457C4">
      <w:pPr>
        <w:pStyle w:val="05-Pargrafodetexto-CLG"/>
        <w:ind w:firstLine="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Cs w:val="28"/>
              </w:rPr>
              <m:t>jk</m:t>
            </m:r>
          </m:sub>
        </m:sSub>
      </m:oMath>
      <w:proofErr w:type="gramStart"/>
      <w:r w:rsidR="00BE2A89" w:rsidRPr="00C1194B">
        <w:rPr>
          <w:szCs w:val="28"/>
        </w:rPr>
        <w:t>é</w:t>
      </w:r>
      <w:proofErr w:type="gramEnd"/>
      <w:r w:rsidR="00BE2A89" w:rsidRPr="00C1194B">
        <w:rPr>
          <w:szCs w:val="28"/>
        </w:rPr>
        <w:t xml:space="preserve"> o parâmetro j do estado k</w:t>
      </w:r>
      <w:r w:rsidR="00544D01" w:rsidRPr="00C1194B">
        <w:rPr>
          <w:szCs w:val="28"/>
        </w:rPr>
        <w:t>;</w:t>
      </w:r>
    </w:p>
    <w:p w:rsidR="00BE2A89" w:rsidRPr="00C1194B" w:rsidRDefault="005D4D69" w:rsidP="00B457C4">
      <w:pPr>
        <w:pStyle w:val="05-Pargrafodetexto-CLG"/>
        <w:ind w:firstLine="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Cs w:val="28"/>
              </w:rPr>
              <m:t>j</m:t>
            </m:r>
          </m:sub>
        </m:sSub>
      </m:oMath>
      <w:proofErr w:type="gramStart"/>
      <w:r w:rsidR="00BE2A89" w:rsidRPr="00C1194B">
        <w:rPr>
          <w:szCs w:val="28"/>
        </w:rPr>
        <w:t>é</w:t>
      </w:r>
      <w:proofErr w:type="gramEnd"/>
      <w:r w:rsidR="00BE2A89" w:rsidRPr="00C1194B">
        <w:rPr>
          <w:szCs w:val="28"/>
        </w:rPr>
        <w:t xml:space="preserve"> o peso do parâmetro j</w:t>
      </w:r>
      <w:r w:rsidR="00544D01" w:rsidRPr="00C1194B">
        <w:rPr>
          <w:szCs w:val="28"/>
        </w:rPr>
        <w:t>, definido em Portaria do Ministério da Agricultura, Pecuária e Abastecimento;</w:t>
      </w:r>
    </w:p>
    <w:p w:rsidR="00BE2A89" w:rsidRPr="00C1194B" w:rsidRDefault="00BE2A89" w:rsidP="00B457C4">
      <w:pPr>
        <w:pStyle w:val="05-Pargrafodetexto-CLG"/>
        <w:ind w:firstLine="0"/>
        <w:rPr>
          <w:szCs w:val="28"/>
        </w:rPr>
      </w:pPr>
      <w:r w:rsidRPr="00C1194B">
        <w:rPr>
          <w:szCs w:val="28"/>
        </w:rPr>
        <w:t xml:space="preserve">r é o total de parâmetros utilizados. </w:t>
      </w:r>
    </w:p>
    <w:p w:rsidR="00BE2A89" w:rsidRPr="00C1194B" w:rsidRDefault="00BE2A89" w:rsidP="00B457C4">
      <w:pPr>
        <w:pStyle w:val="05-Pargrafodetexto-CLG"/>
        <w:ind w:firstLine="0"/>
        <w:rPr>
          <w:szCs w:val="28"/>
        </w:rPr>
      </w:pPr>
      <w:r w:rsidRPr="00C1194B">
        <w:rPr>
          <w:szCs w:val="28"/>
        </w:rPr>
        <w:t xml:space="preserve">Cada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Cs w:val="28"/>
              </w:rPr>
              <m:t>jk</m:t>
            </m:r>
          </m:sub>
        </m:sSub>
      </m:oMath>
      <w:r w:rsidRPr="00C1194B">
        <w:rPr>
          <w:szCs w:val="28"/>
        </w:rPr>
        <w:t xml:space="preserve">corresponde ao valor absoluto do parâmetro do estado dividido pelo total do Brasil, ou seja, todo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Cs w:val="28"/>
              </w:rPr>
              <m:t>jk</m:t>
            </m:r>
          </m:sub>
        </m:sSub>
      </m:oMath>
      <w:r w:rsidRPr="00C1194B">
        <w:rPr>
          <w:szCs w:val="28"/>
        </w:rPr>
        <w:t xml:space="preserve">é um valor relativo entre </w:t>
      </w:r>
      <w:proofErr w:type="gramStart"/>
      <w:r w:rsidRPr="00C1194B">
        <w:rPr>
          <w:szCs w:val="28"/>
        </w:rPr>
        <w:t>0</w:t>
      </w:r>
      <w:proofErr w:type="gramEnd"/>
      <w:r w:rsidRPr="00C1194B">
        <w:rPr>
          <w:szCs w:val="28"/>
        </w:rPr>
        <w:t xml:space="preserve"> e 1 que indica a participação do estado em relação ao Bra</w:t>
      </w:r>
      <w:proofErr w:type="spellStart"/>
      <w:r w:rsidRPr="00C1194B">
        <w:rPr>
          <w:szCs w:val="28"/>
        </w:rPr>
        <w:t>sil</w:t>
      </w:r>
      <w:proofErr w:type="spellEnd"/>
      <w:r w:rsidRPr="00C1194B">
        <w:rPr>
          <w:szCs w:val="28"/>
        </w:rPr>
        <w:t xml:space="preserve"> para aquele parâmetro específico.</w:t>
      </w:r>
    </w:p>
    <w:p w:rsidR="00544D01" w:rsidRPr="00C1194B" w:rsidRDefault="00BE2A89" w:rsidP="00BE2A89">
      <w:pPr>
        <w:pStyle w:val="artigo"/>
        <w:spacing w:before="300" w:beforeAutospacing="0" w:after="300" w:afterAutospacing="0"/>
        <w:jc w:val="both"/>
        <w:rPr>
          <w:sz w:val="28"/>
          <w:szCs w:val="28"/>
        </w:rPr>
      </w:pPr>
      <w:r w:rsidRPr="00C1194B">
        <w:rPr>
          <w:sz w:val="28"/>
          <w:szCs w:val="28"/>
        </w:rPr>
        <w:t xml:space="preserve">Para efeito de cálculo, considerar-se-á a participação relativa de cada Unidade da Federação no Brasil para cada um dos parâmetros observados. </w:t>
      </w:r>
    </w:p>
    <w:p w:rsidR="00BE2A89" w:rsidRPr="00C1194B" w:rsidRDefault="00544D01" w:rsidP="00BE2A89">
      <w:pPr>
        <w:pStyle w:val="artigo"/>
        <w:spacing w:before="300" w:beforeAutospacing="0" w:after="300" w:afterAutospacing="0"/>
        <w:jc w:val="both"/>
        <w:rPr>
          <w:sz w:val="28"/>
          <w:szCs w:val="28"/>
        </w:rPr>
      </w:pPr>
      <w:r w:rsidRPr="00C1194B">
        <w:rPr>
          <w:sz w:val="28"/>
          <w:szCs w:val="28"/>
        </w:rPr>
        <w:t>O</w:t>
      </w:r>
      <w:r w:rsidR="00BE2A89" w:rsidRPr="00C1194B">
        <w:rPr>
          <w:sz w:val="28"/>
          <w:szCs w:val="28"/>
        </w:rPr>
        <w:t>s parâmetros considerados são:</w:t>
      </w:r>
    </w:p>
    <w:p w:rsidR="00BE2A89" w:rsidRPr="00C1194B" w:rsidRDefault="00BE2A89" w:rsidP="00B457C4">
      <w:pPr>
        <w:pStyle w:val="05-Pargrafodetexto-CLG"/>
        <w:numPr>
          <w:ilvl w:val="0"/>
          <w:numId w:val="8"/>
        </w:numPr>
        <w:rPr>
          <w:szCs w:val="28"/>
        </w:rPr>
      </w:pPr>
      <w:r w:rsidRPr="00C1194B">
        <w:rPr>
          <w:szCs w:val="28"/>
        </w:rPr>
        <w:t>Parâmetros fixos (j</w:t>
      </w:r>
      <w:r w:rsidR="008749B9" w:rsidRPr="00C1194B">
        <w:rPr>
          <w:szCs w:val="28"/>
        </w:rPr>
        <w:t>=</w:t>
      </w:r>
      <w:r w:rsidRPr="00C1194B">
        <w:rPr>
          <w:szCs w:val="28"/>
        </w:rPr>
        <w:t xml:space="preserve">1 até j = </w:t>
      </w:r>
      <w:r w:rsidR="008749B9" w:rsidRPr="00C1194B">
        <w:rPr>
          <w:szCs w:val="28"/>
        </w:rPr>
        <w:t>10)</w:t>
      </w:r>
    </w:p>
    <w:p w:rsidR="00BE2A89" w:rsidRPr="00C1194B" w:rsidRDefault="00BE2A89" w:rsidP="00B457C4">
      <w:pPr>
        <w:pStyle w:val="artigo"/>
        <w:numPr>
          <w:ilvl w:val="1"/>
          <w:numId w:val="8"/>
        </w:numPr>
        <w:spacing w:before="300" w:beforeAutospacing="0" w:after="300" w:afterAutospacing="0"/>
        <w:jc w:val="both"/>
        <w:rPr>
          <w:sz w:val="28"/>
          <w:szCs w:val="28"/>
        </w:rPr>
      </w:pPr>
      <w:r w:rsidRPr="00C1194B">
        <w:rPr>
          <w:sz w:val="28"/>
          <w:szCs w:val="28"/>
        </w:rPr>
        <w:t>Parâmetros físicos e territoriais:</w:t>
      </w:r>
    </w:p>
    <w:p w:rsidR="00BE2A8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 xml:space="preserve">j=1 </w:t>
      </w:r>
      <w:r w:rsidR="00BE2A89" w:rsidRPr="00C1194B">
        <w:rPr>
          <w:sz w:val="28"/>
          <w:szCs w:val="28"/>
        </w:rPr>
        <w:t>Participação da área plantada da UF na área plantada do Brasil;</w:t>
      </w:r>
    </w:p>
    <w:p w:rsidR="00BE2A8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>j=2</w:t>
      </w:r>
      <w:r w:rsidR="001F7636" w:rsidRPr="00C1194B">
        <w:rPr>
          <w:sz w:val="28"/>
          <w:szCs w:val="28"/>
        </w:rPr>
        <w:t xml:space="preserve"> </w:t>
      </w:r>
      <w:r w:rsidR="00BE2A89" w:rsidRPr="00C1194B">
        <w:rPr>
          <w:sz w:val="28"/>
          <w:szCs w:val="28"/>
        </w:rPr>
        <w:t>Participação da extensão de fronteiras internacionais da UF no total de extensão de fronteiras internacionais do Brasil;</w:t>
      </w:r>
    </w:p>
    <w:p w:rsidR="00BE2A8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lastRenderedPageBreak/>
        <w:t xml:space="preserve">j=3 </w:t>
      </w:r>
      <w:r w:rsidR="00BE2A89" w:rsidRPr="00C1194B">
        <w:rPr>
          <w:sz w:val="28"/>
          <w:szCs w:val="28"/>
        </w:rPr>
        <w:t>Participação dos Imóveis rurais cadastrados da UF no total de imóveis rurais cadastrados no Brasil;</w:t>
      </w:r>
    </w:p>
    <w:p w:rsidR="00BE2A8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 xml:space="preserve">j=4 </w:t>
      </w:r>
      <w:r w:rsidR="00BE2A89" w:rsidRPr="00C1194B">
        <w:rPr>
          <w:sz w:val="28"/>
          <w:szCs w:val="28"/>
        </w:rPr>
        <w:t>Participação dos rebanhos bovídeos registrados da UF no total de rebanhos bovídeos registrados no Brasil;</w:t>
      </w:r>
    </w:p>
    <w:p w:rsidR="00BE2A89" w:rsidRPr="00C1194B" w:rsidRDefault="00BE2A89" w:rsidP="00B457C4">
      <w:pPr>
        <w:pStyle w:val="artigo"/>
        <w:numPr>
          <w:ilvl w:val="1"/>
          <w:numId w:val="8"/>
        </w:numPr>
        <w:spacing w:before="300" w:beforeAutospacing="0" w:after="300" w:afterAutospacing="0"/>
        <w:jc w:val="both"/>
        <w:rPr>
          <w:sz w:val="28"/>
          <w:szCs w:val="28"/>
        </w:rPr>
      </w:pPr>
      <w:r w:rsidRPr="00C1194B">
        <w:rPr>
          <w:sz w:val="28"/>
          <w:szCs w:val="28"/>
        </w:rPr>
        <w:t>Parâmetros técnicos demográficos:</w:t>
      </w:r>
    </w:p>
    <w:p w:rsidR="008749B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>j=5 Participação de galináceos registrados da UF sobre o total de galináceos do Brasil;</w:t>
      </w:r>
    </w:p>
    <w:p w:rsidR="008749B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>j=6</w:t>
      </w:r>
      <w:proofErr w:type="gramStart"/>
      <w:r w:rsidRPr="00C1194B">
        <w:rPr>
          <w:sz w:val="28"/>
          <w:szCs w:val="28"/>
        </w:rPr>
        <w:t xml:space="preserve">  </w:t>
      </w:r>
      <w:proofErr w:type="gramEnd"/>
      <w:r w:rsidRPr="00C1194B">
        <w:rPr>
          <w:sz w:val="28"/>
          <w:szCs w:val="28"/>
        </w:rPr>
        <w:t>Participação de rebanho suíno da UF sobre o total de rebanho suínos registrados do Brasil;</w:t>
      </w:r>
    </w:p>
    <w:p w:rsidR="008749B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>j=7 Participação da população rural da UF no total da população rural do Brasil;</w:t>
      </w:r>
    </w:p>
    <w:p w:rsidR="00BE2A89" w:rsidRPr="00C1194B" w:rsidRDefault="00BE2A89" w:rsidP="00B457C4">
      <w:pPr>
        <w:pStyle w:val="artigo"/>
        <w:numPr>
          <w:ilvl w:val="1"/>
          <w:numId w:val="8"/>
        </w:numPr>
        <w:spacing w:before="300" w:beforeAutospacing="0" w:after="300" w:afterAutospacing="0"/>
        <w:jc w:val="both"/>
        <w:rPr>
          <w:sz w:val="28"/>
          <w:szCs w:val="28"/>
        </w:rPr>
      </w:pPr>
      <w:r w:rsidRPr="00C1194B">
        <w:rPr>
          <w:sz w:val="28"/>
          <w:szCs w:val="28"/>
        </w:rPr>
        <w:t>Parâmetros econômicos:</w:t>
      </w:r>
    </w:p>
    <w:p w:rsidR="00BE2A8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>j=8</w:t>
      </w:r>
      <w:r w:rsidR="00BE2A89" w:rsidRPr="00C1194B">
        <w:rPr>
          <w:sz w:val="28"/>
          <w:szCs w:val="28"/>
        </w:rPr>
        <w:t xml:space="preserve"> Participação do Valor bruto da produção de lavouras da UF no Valor bruto da produção de lavouras do Brasil;</w:t>
      </w:r>
    </w:p>
    <w:p w:rsidR="00BE2A8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>j=9</w:t>
      </w:r>
      <w:r w:rsidR="00BE2A89" w:rsidRPr="00C1194B">
        <w:rPr>
          <w:sz w:val="28"/>
          <w:szCs w:val="28"/>
        </w:rPr>
        <w:t xml:space="preserve"> Participação das exportações agropecuária da UF nas exportações agropecuárias do Brasil;</w:t>
      </w:r>
    </w:p>
    <w:p w:rsidR="00BE2A89" w:rsidRPr="00C1194B" w:rsidRDefault="008749B9" w:rsidP="00B457C4">
      <w:pPr>
        <w:pStyle w:val="07-Citaolegal-CLG"/>
        <w:ind w:left="720"/>
        <w:rPr>
          <w:sz w:val="28"/>
          <w:szCs w:val="28"/>
        </w:rPr>
      </w:pPr>
      <w:r w:rsidRPr="00C1194B">
        <w:rPr>
          <w:sz w:val="28"/>
          <w:szCs w:val="28"/>
        </w:rPr>
        <w:t xml:space="preserve">j=10 </w:t>
      </w:r>
      <w:r w:rsidR="00BE2A89" w:rsidRPr="00C1194B">
        <w:rPr>
          <w:sz w:val="28"/>
          <w:szCs w:val="28"/>
        </w:rPr>
        <w:t>Participação dos ocupados na agricultura familiar da UF em relação ao total de ocupados na agricultura familiar do Brasil.</w:t>
      </w:r>
    </w:p>
    <w:p w:rsidR="008749B9" w:rsidRDefault="008749B9" w:rsidP="00B457C4">
      <w:pPr>
        <w:pStyle w:val="artigo"/>
        <w:numPr>
          <w:ilvl w:val="0"/>
          <w:numId w:val="8"/>
        </w:numPr>
        <w:spacing w:before="300" w:beforeAutospacing="0" w:after="300" w:afterAutospacing="0"/>
        <w:jc w:val="both"/>
        <w:rPr>
          <w:sz w:val="28"/>
          <w:szCs w:val="28"/>
        </w:rPr>
      </w:pPr>
      <w:r w:rsidRPr="00C1194B">
        <w:rPr>
          <w:sz w:val="28"/>
          <w:szCs w:val="28"/>
        </w:rPr>
        <w:t>Parâmetros variáveis, definidos em portaria do Ministério da Agricultura, Pecuária e Abastecimento (de j=11 at</w:t>
      </w:r>
      <w:r w:rsidR="001F7636" w:rsidRPr="00C1194B">
        <w:rPr>
          <w:sz w:val="28"/>
          <w:szCs w:val="28"/>
        </w:rPr>
        <w:t>é j=</w:t>
      </w:r>
      <w:r w:rsidRPr="00C1194B">
        <w:rPr>
          <w:sz w:val="28"/>
          <w:szCs w:val="28"/>
        </w:rPr>
        <w:t>r</w:t>
      </w:r>
      <w:proofErr w:type="gramStart"/>
      <w:r w:rsidRPr="00C1194B">
        <w:rPr>
          <w:sz w:val="28"/>
          <w:szCs w:val="28"/>
        </w:rPr>
        <w:t>)</w:t>
      </w:r>
      <w:proofErr w:type="gramEnd"/>
    </w:p>
    <w:p w:rsidR="00C23373" w:rsidRPr="00C1194B" w:rsidRDefault="00C23373" w:rsidP="00B457C4">
      <w:pPr>
        <w:pStyle w:val="artigo"/>
        <w:numPr>
          <w:ilvl w:val="0"/>
          <w:numId w:val="8"/>
        </w:numPr>
        <w:spacing w:before="30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valor financeiro devido a cada unidade da Federação, será igual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multiplicação do PE (participação do Estado) pelo montante dos recursos alocados para a divisão pelos Estados.</w:t>
      </w:r>
    </w:p>
    <w:p w:rsidR="008749B9" w:rsidRPr="00B457C4" w:rsidRDefault="008749B9" w:rsidP="00B457C4">
      <w:pPr>
        <w:pStyle w:val="artigo"/>
        <w:spacing w:before="300" w:beforeAutospacing="0" w:after="300" w:afterAutospacing="0"/>
        <w:ind w:left="360"/>
        <w:jc w:val="both"/>
        <w:rPr>
          <w:color w:val="000000"/>
          <w:sz w:val="28"/>
          <w:szCs w:val="28"/>
        </w:rPr>
      </w:pPr>
    </w:p>
    <w:p w:rsidR="006613D7" w:rsidRDefault="006613D7" w:rsidP="000D5FCB">
      <w:pPr>
        <w:pStyle w:val="06-Justificao-CLG"/>
      </w:pPr>
    </w:p>
    <w:p w:rsidR="00C23373" w:rsidRDefault="00C23373" w:rsidP="00C23373">
      <w:pPr>
        <w:pStyle w:val="05-Pargrafodetexto-CLG"/>
      </w:pPr>
    </w:p>
    <w:p w:rsidR="00C23373" w:rsidRDefault="00C23373" w:rsidP="00C23373">
      <w:pPr>
        <w:pStyle w:val="05-Pargrafodetexto-CLG"/>
      </w:pPr>
    </w:p>
    <w:p w:rsidR="00C23373" w:rsidRDefault="00C23373" w:rsidP="00C23373">
      <w:pPr>
        <w:pStyle w:val="05-Pargrafodetexto-CLG"/>
      </w:pPr>
    </w:p>
    <w:p w:rsidR="00C23373" w:rsidRPr="0038406D" w:rsidRDefault="00C23373" w:rsidP="00C23373">
      <w:pPr>
        <w:pStyle w:val="06-Justificao-CLG"/>
      </w:pPr>
      <w:r>
        <w:lastRenderedPageBreak/>
        <w:t>J</w:t>
      </w:r>
      <w:r w:rsidRPr="0038406D">
        <w:t>USTIFICAÇÃO</w:t>
      </w:r>
    </w:p>
    <w:p w:rsidR="00C23373" w:rsidRPr="0038406D" w:rsidRDefault="00C23373" w:rsidP="00C23373">
      <w:pPr>
        <w:pStyle w:val="05-Pargrafodetexto-CLG"/>
      </w:pPr>
      <w:r w:rsidRPr="0038406D">
        <w:t>A Segurança Alimentar, representada pela quantidade e qualidade de alimento oferecido à população, encontra-se sustentada na Defesa Agropecuária - um conjunto de atividades desenvolvidas pelo Governo para assegurar o desenvolvimento de uma agropecuária competitiva, sustentada no desafio da economia globalizada, que representa uma parcela significativa do Produto Interno Bruto (PIB). As ações de defesa caracterizam-se pela inspeção e controle da saúde dos animais e vegetais, garantindo a melhoria do meio ambiente, proteção aos consumidores e oferta de emprego e renda.</w:t>
      </w:r>
    </w:p>
    <w:p w:rsidR="00C23373" w:rsidRPr="0038406D" w:rsidRDefault="00C23373" w:rsidP="00C23373">
      <w:pPr>
        <w:pStyle w:val="05-Pargrafodetexto-CLG"/>
      </w:pPr>
      <w:r w:rsidRPr="0038406D">
        <w:t>Este projeto destina-se a enfrentar um novo panorama da agropecuária, que evoluiu de um antigo setor primário da economia nacional para, a partir da segunda metade do século XX, tornar-se uma moderna agropecuária, com uma nova dinâmica setorial e, por extensão, com maiores desafios.</w:t>
      </w:r>
    </w:p>
    <w:p w:rsidR="00C23373" w:rsidRPr="0038406D" w:rsidRDefault="00C23373" w:rsidP="00C23373">
      <w:pPr>
        <w:pStyle w:val="05-Pargrafodetexto-CLG"/>
        <w:rPr>
          <w:strike/>
        </w:rPr>
      </w:pPr>
      <w:r w:rsidRPr="0038406D">
        <w:t xml:space="preserve">O agronegócio brasileiro é o maior exportador mundial do </w:t>
      </w:r>
      <w:proofErr w:type="gramStart"/>
      <w:r w:rsidRPr="0038406D">
        <w:t>complexo soja (farelo, óleo e grãos)</w:t>
      </w:r>
      <w:proofErr w:type="gramEnd"/>
      <w:r w:rsidRPr="0038406D">
        <w:t>, café, açúcar, etanol de cana-de-açúcar, suco de laranja e carne de frango. Esses produtos contribuíram com US$ 88,2 bilhões em 2015 para o saldo da balança comercial do Brasil</w:t>
      </w:r>
      <w:r w:rsidRPr="0038406D">
        <w:rPr>
          <w:color w:val="FF0000"/>
        </w:rPr>
        <w:t xml:space="preserve">. </w:t>
      </w:r>
      <w:r w:rsidRPr="0038406D">
        <w:t>Segundo o Ministério do Desenvolvimento Indústria e Comércio,</w:t>
      </w:r>
      <w:r w:rsidRPr="0038406D">
        <w:rPr>
          <w:color w:val="FF0000"/>
        </w:rPr>
        <w:t xml:space="preserve"> </w:t>
      </w:r>
      <w:r w:rsidRPr="0038406D">
        <w:t xml:space="preserve">a participação desse segmento no total das exportações brasileiras cresceu para 46,2% em 2015, maior fatia da série histórica iniciada há quase duas décadas. Em 2014, a participação foi de 43%. </w:t>
      </w:r>
    </w:p>
    <w:p w:rsidR="00C23373" w:rsidRPr="0038406D" w:rsidRDefault="00C23373" w:rsidP="00C23373">
      <w:pPr>
        <w:pStyle w:val="05-Pargrafodetexto-CLG"/>
      </w:pPr>
      <w:r w:rsidRPr="0038406D">
        <w:t>O agronegócio contribuiu com R$ 263,6 bilhões, o que representou 23% do PIB brasileiro. Segundo dados de 2015 do Ministério da Agricultura, Pecuária e Abastecimento (MAPA), a taxa média anual de crescimento do PIB do agronegócio, nos últimos 19 anos, tem sido de 3,8%, firmando-se como um dos pilares de sustentação da economia nacional.</w:t>
      </w:r>
    </w:p>
    <w:p w:rsidR="00C23373" w:rsidRPr="0038406D" w:rsidRDefault="00C23373" w:rsidP="00C23373">
      <w:pPr>
        <w:pStyle w:val="05-Pargrafodetexto-CLG"/>
      </w:pPr>
      <w:r w:rsidRPr="0038406D">
        <w:t xml:space="preserve">Impulsionado pelo êxito alcançado no Programa Nacional de Erradicação e Prevenção da Febre Aftosa, aliado ao crescimento e organização das cadeias produtivas da agropecuária, o Brasil vem qualificando a Defesa Sanitária Agropecuária, tornando-o compatível com a grandeza de seu agronegócio, garantindo uma segurança sanitária cada vez mais competitiva no mercado internacional. </w:t>
      </w:r>
    </w:p>
    <w:p w:rsidR="00C23373" w:rsidRPr="0038406D" w:rsidRDefault="00C23373" w:rsidP="00C23373">
      <w:pPr>
        <w:pStyle w:val="05-Pargrafodetexto-CLG"/>
      </w:pPr>
      <w:r w:rsidRPr="0038406D">
        <w:lastRenderedPageBreak/>
        <w:t xml:space="preserve">Na pecuária, o destaque foi </w:t>
      </w:r>
      <w:proofErr w:type="gramStart"/>
      <w:r w:rsidRPr="0038406D">
        <w:t>a</w:t>
      </w:r>
      <w:proofErr w:type="gramEnd"/>
      <w:r w:rsidRPr="0038406D">
        <w:t xml:space="preserve"> bovinocultura com 212,3 milhões de cabeças de gado bovino, rebanho apascentado em zonas livres da febre aftosa (76% do Território Nacional e 97% do rebanho), zona livre da febre aftosa sem vacinação (Estado de Santa Catarina) e zonas não reconhecidas como livre da febre aftosa (Região Amazônica com 1% do rebanho), ocupando a segunda posição no </w:t>
      </w:r>
      <w:r w:rsidRPr="0038406D">
        <w:rPr>
          <w:i/>
        </w:rPr>
        <w:t>ranking</w:t>
      </w:r>
      <w:r w:rsidRPr="0038406D">
        <w:t xml:space="preserve"> mundial, atrás apenas da Índia. A avicultura figurou com 1,3 bilhões de cabeças; a produção brasileira de leite com 35,2 bilhões de litros, o que confere ao Brasil a quinta posição no </w:t>
      </w:r>
      <w:r w:rsidRPr="0038406D">
        <w:rPr>
          <w:i/>
        </w:rPr>
        <w:t>ranking</w:t>
      </w:r>
      <w:r w:rsidRPr="0038406D">
        <w:t xml:space="preserve"> mundial de produção de leite, atrás da União Europeia, Índia, Estados Unidos e China; e o efetivo de suínos chegou a 37,9 milhões de cabeças, ranqueando o País na quarta posição na produção mundial de carne suína, atrás apenas da China, União Europeia e </w:t>
      </w:r>
      <w:proofErr w:type="gramStart"/>
      <w:r w:rsidRPr="0038406D">
        <w:t>Estada Unidos</w:t>
      </w:r>
      <w:proofErr w:type="gramEnd"/>
      <w:r w:rsidRPr="0038406D">
        <w:t>. (Fonte: FAO, IBGE 2016).</w:t>
      </w:r>
    </w:p>
    <w:p w:rsidR="00C23373" w:rsidRPr="0038406D" w:rsidRDefault="00C23373" w:rsidP="00C23373">
      <w:pPr>
        <w:pStyle w:val="05-Pargrafodetexto-CLG"/>
      </w:pPr>
      <w:r w:rsidRPr="0038406D">
        <w:t xml:space="preserve">Diante da grande importância do setor para o País e a necessidade de avanços, propõem-se o presente </w:t>
      </w:r>
      <w:r w:rsidRPr="0038406D">
        <w:rPr>
          <w:bCs/>
        </w:rPr>
        <w:t>Projeto de Lei do Senado (PLS), que d</w:t>
      </w:r>
      <w:r w:rsidRPr="0038406D">
        <w:t>isciplina o repasse de recursos federais aos Estados, ao Distrito Federal e aos Municípios, para apoio às ações de defesa agropecuária. O PLS proposto permitirá a criação de um sistema robusto de Defesa Sanitária Agropecuária, com aperfeiçoamento no planejamento e na visão de longo prazo.</w:t>
      </w:r>
    </w:p>
    <w:p w:rsidR="00C23373" w:rsidRPr="0038406D" w:rsidRDefault="00C23373" w:rsidP="00C23373">
      <w:pPr>
        <w:pStyle w:val="05-Pargrafodetexto-CLG"/>
      </w:pPr>
      <w:r w:rsidRPr="0038406D">
        <w:t>Espera-se alcançar</w:t>
      </w:r>
      <w:r>
        <w:t xml:space="preserve"> com este ponto</w:t>
      </w:r>
      <w:r w:rsidRPr="0038406D">
        <w:t>, avanços na Defesa,</w:t>
      </w:r>
      <w:r>
        <w:t xml:space="preserve"> com</w:t>
      </w:r>
      <w:r w:rsidRPr="0038406D">
        <w:t xml:space="preserve"> uma </w:t>
      </w:r>
      <w:r>
        <w:t xml:space="preserve">indução à </w:t>
      </w:r>
      <w:r w:rsidRPr="0038406D">
        <w:t xml:space="preserve">padronização dos </w:t>
      </w:r>
      <w:r w:rsidRPr="0038406D">
        <w:rPr>
          <w:i/>
        </w:rPr>
        <w:t>status</w:t>
      </w:r>
      <w:r w:rsidRPr="0038406D">
        <w:t xml:space="preserve"> sanitários no Brasil, </w:t>
      </w:r>
      <w:r>
        <w:t>m</w:t>
      </w:r>
      <w:r w:rsidRPr="0038406D">
        <w:t>aior controle do MAPA em todos os Estados, além da ampliação e melhoria das estruturas estaduais de Defesa Sanitária.</w:t>
      </w:r>
    </w:p>
    <w:p w:rsidR="00C23373" w:rsidRPr="0038406D" w:rsidRDefault="00C23373" w:rsidP="00C23373">
      <w:pPr>
        <w:pStyle w:val="05-Pargrafodetexto-CLG"/>
        <w:rPr>
          <w:rFonts w:ascii="Arial" w:hAnsi="Arial" w:cs="Arial"/>
          <w:sz w:val="24"/>
          <w:szCs w:val="24"/>
        </w:rPr>
      </w:pPr>
      <w:r w:rsidRPr="0038406D">
        <w:rPr>
          <w:bCs/>
        </w:rPr>
        <w:t xml:space="preserve">O presente Projeto de Lei do Senado institui a transferência direta e obrigatória dos recursos destinados à execução </w:t>
      </w:r>
      <w:r w:rsidRPr="00C23373">
        <w:rPr>
          <w:bCs/>
        </w:rPr>
        <w:t>descentralizada</w:t>
      </w:r>
      <w:r w:rsidRPr="0038406D">
        <w:rPr>
          <w:bCs/>
        </w:rPr>
        <w:t xml:space="preserve"> por Estados, Distrito Federal e Municípios</w:t>
      </w:r>
      <w:r w:rsidRPr="0038406D">
        <w:t>. A proposta é dar garantia para o melhor planejamento das ações de defesa agropecuária, eliminando dificuldade</w:t>
      </w:r>
      <w:r>
        <w:t>s para a continuidade das ações -</w:t>
      </w:r>
      <w:proofErr w:type="gramStart"/>
      <w:r>
        <w:t xml:space="preserve"> </w:t>
      </w:r>
      <w:r w:rsidRPr="00400DF9">
        <w:t xml:space="preserve"> </w:t>
      </w:r>
      <w:proofErr w:type="gramEnd"/>
      <w:r w:rsidRPr="00400DF9">
        <w:t>ao contrário do atual cenário onde o trabalho fica comprometido, desde a aplicação dos recursos, assim como, a imposição de dificuldades para a continuidade das ações</w:t>
      </w:r>
      <w:r w:rsidRPr="00400DF9">
        <w:rPr>
          <w:rFonts w:ascii="Arial" w:eastAsia="Arial" w:hAnsi="Arial" w:cs="Arial"/>
          <w:sz w:val="24"/>
          <w:szCs w:val="24"/>
        </w:rPr>
        <w:t>.</w:t>
      </w:r>
    </w:p>
    <w:p w:rsidR="00C23373" w:rsidRPr="0038406D" w:rsidRDefault="00C23373" w:rsidP="00C23373">
      <w:pPr>
        <w:pStyle w:val="05-Pargrafodetexto-CLG"/>
      </w:pPr>
      <w:r w:rsidRPr="0038406D">
        <w:t xml:space="preserve">O Projeto estabelece que esses recursos </w:t>
      </w:r>
      <w:proofErr w:type="gramStart"/>
      <w:r w:rsidRPr="0038406D">
        <w:t>devem</w:t>
      </w:r>
      <w:proofErr w:type="gramEnd"/>
      <w:r w:rsidRPr="0038406D">
        <w:t xml:space="preserve"> ser transferidos mensalmente, à </w:t>
      </w:r>
      <w:r w:rsidRPr="0038406D">
        <w:rPr>
          <w:bCs/>
        </w:rPr>
        <w:t>razão de um doze avos (1/12) do valor previsto para o exercício, para contas correntes de titularidade dos entes favorecidos, abertas especificamente para este fim, na modalidade do sistema fundo a fundo.</w:t>
      </w:r>
    </w:p>
    <w:p w:rsidR="00C23373" w:rsidRPr="0038406D" w:rsidRDefault="00C23373" w:rsidP="00C23373">
      <w:pPr>
        <w:pStyle w:val="05-Pargrafodetexto-CLG"/>
      </w:pPr>
      <w:r w:rsidRPr="0038406D">
        <w:lastRenderedPageBreak/>
        <w:t xml:space="preserve">A proposta encontra-se alinhada ao Sistema Unificado de Atenção à Sanidade Agropecuária – SUASA, que apresenta seus objetivos estabelecidos na Lei nº 8.171, de 17 de janeiro de 1991, que incluem assegurar: i) a sanidade das populações vegetais; </w:t>
      </w:r>
      <w:proofErr w:type="gramStart"/>
      <w:r w:rsidRPr="0038406D">
        <w:t>ii</w:t>
      </w:r>
      <w:proofErr w:type="gramEnd"/>
      <w:r w:rsidRPr="0038406D">
        <w:t>) a saúde dos rebanhos animais; iii) a idoneidade dos insumos e dos serviços utilizados na agropecuária; e iv) a identidade e segurança higiênico-sanitária e tecnológica dos produtos agropecuários.</w:t>
      </w:r>
    </w:p>
    <w:p w:rsidR="00C23373" w:rsidRPr="0038406D" w:rsidRDefault="00C23373" w:rsidP="00C23373">
      <w:pPr>
        <w:pStyle w:val="05-Pargrafodetexto-CLG"/>
      </w:pPr>
      <w:r w:rsidRPr="0038406D">
        <w:t>O SUASA apresenta uma política complexa em razão da abrangência das atividades desenvolvidas pela Defesa Agropecuária, que envolvem quase toda a cadeia produtiva do agronegócio e as três esferas de governo, dentro de um regime de colaboração federativa sem, no entanto</w:t>
      </w:r>
      <w:r w:rsidRPr="0038406D">
        <w:rPr>
          <w:color w:val="FF0000"/>
        </w:rPr>
        <w:t xml:space="preserve">, </w:t>
      </w:r>
      <w:r w:rsidRPr="0038406D">
        <w:t>apresentar alternativas viáveis de financiamento dos órgãos executores.</w:t>
      </w:r>
    </w:p>
    <w:p w:rsidR="00C23373" w:rsidRPr="0038406D" w:rsidRDefault="00C23373" w:rsidP="00C23373">
      <w:pPr>
        <w:pStyle w:val="05-Pargrafodetexto-CLG"/>
      </w:pPr>
      <w:r w:rsidRPr="0038406D">
        <w:t xml:space="preserve">As atividades relacionadas à Defesa Agropecuária são, em geral, de natureza contínua e sua suspensão, mesmo que por breves períodos, pode colocar em risco os seus objetivos. Dessa forma, os entraves burocráticos e a possibilidade de contingenciamento dos recursos orçamentários, repassados por meio de convênios ou instrumentos congêneres, fazem com que os governos estaduais, </w:t>
      </w:r>
      <w:proofErr w:type="gramStart"/>
      <w:r w:rsidRPr="0038406D">
        <w:t>distrital e municipais</w:t>
      </w:r>
      <w:proofErr w:type="gramEnd"/>
      <w:r w:rsidRPr="0038406D">
        <w:t xml:space="preserve"> tenham que planejar suas atividades sem</w:t>
      </w:r>
      <w:r>
        <w:t xml:space="preserve"> a mínima segurança financeira, s</w:t>
      </w:r>
      <w:r w:rsidRPr="00400DF9">
        <w:t>em contar com esses recursos, devido ao alto grau de incerteza quanto ao momento do seu recebimento.</w:t>
      </w:r>
    </w:p>
    <w:p w:rsidR="00C23373" w:rsidRPr="0038406D" w:rsidRDefault="00C23373" w:rsidP="00C23373">
      <w:pPr>
        <w:pStyle w:val="05-Pargrafodetexto-CLG"/>
      </w:pPr>
      <w:r w:rsidRPr="0038406D">
        <w:t>Essa questão foi inclusive apontada como um dos gargalos da área no Relatório da Comissão de Agricultura e Reforma Agrária do Senado Federal (CRA) sobre a Avaliação da Política Pública de Defesa Agropecuária no País, realizada em 2015, quando se apontou a necessidade de mecanismos que evitem flutuações no repasse desses recursos, de forma que o andamento das atividades não seja prejudicado.</w:t>
      </w:r>
    </w:p>
    <w:p w:rsidR="00C23373" w:rsidRPr="0038406D" w:rsidRDefault="00C23373" w:rsidP="00C23373">
      <w:pPr>
        <w:pStyle w:val="05-Pargrafodetexto-CLG"/>
        <w:rPr>
          <w:rFonts w:ascii="Arial" w:hAnsi="Arial" w:cs="Arial"/>
          <w:sz w:val="24"/>
          <w:szCs w:val="24"/>
        </w:rPr>
      </w:pPr>
      <w:r w:rsidRPr="0038406D">
        <w:t xml:space="preserve">Atualmente, a forma de repasse desses recursos, por meio de convênios firmados entre o Ministério da Agricultura e os Órgãos de Defesa Sanitária, é considerada, ainda hoje, </w:t>
      </w:r>
      <w:r>
        <w:t>anacrônico frente a outras políticas públicas de caráter continuado</w:t>
      </w:r>
      <w:r w:rsidRPr="0038406D">
        <w:t>. Alguns entraves são identificados, principalmente quanto ao cronograma de lançamento da proposta no SICONV, com exigências do CAUC, até a formalização do convênio, com publicação no Diário Oficial da União, empenho, liberações de recursos até sua efetiva execução, atendendo a todas as exigências da Portaria Interministerial Nº 507, de 24/11/2011 e orientações do Ofício Circular nº04/2013/SDA-MAPA de 29/07/2013, a serem realizados a cada ciclo de repasse de recurso, o que algumas situações ocorrem até duas vezes ao ano.</w:t>
      </w:r>
    </w:p>
    <w:p w:rsidR="00C23373" w:rsidRPr="0038406D" w:rsidRDefault="00C23373" w:rsidP="00C23373">
      <w:pPr>
        <w:pStyle w:val="05-Pargrafodetexto-CLG"/>
      </w:pPr>
      <w:r w:rsidRPr="0038406D">
        <w:lastRenderedPageBreak/>
        <w:t>Devido à possibilidade de variação no volume de recursos orçamentários destinados à execução descentralizada de um exercício para o outro, o Projeto toma o cuidado de vedar a utilização desses recursos para o pagamento de despesas de caráter continuado.</w:t>
      </w:r>
    </w:p>
    <w:p w:rsidR="00C23373" w:rsidRPr="0038406D" w:rsidRDefault="00C23373" w:rsidP="00C23373">
      <w:pPr>
        <w:pStyle w:val="05-Pargrafodetexto-CLG"/>
      </w:pPr>
      <w:r w:rsidRPr="0038406D">
        <w:rPr>
          <w:bCs/>
        </w:rPr>
        <w:t xml:space="preserve">A distribuição desses recursos será balizada pelos Planos Plurianuais de Atenção à Sanidade </w:t>
      </w:r>
      <w:proofErr w:type="gramStart"/>
      <w:r w:rsidRPr="0038406D">
        <w:rPr>
          <w:bCs/>
        </w:rPr>
        <w:t>Agropecuária, já previstos</w:t>
      </w:r>
      <w:proofErr w:type="gramEnd"/>
      <w:r w:rsidRPr="0038406D">
        <w:rPr>
          <w:bCs/>
        </w:rPr>
        <w:t xml:space="preserve"> no regulamento do </w:t>
      </w:r>
      <w:r w:rsidRPr="0038406D">
        <w:t>SUASA</w:t>
      </w:r>
      <w:r w:rsidRPr="0038406D">
        <w:rPr>
          <w:bCs/>
        </w:rPr>
        <w:t>, que deverão conter as metas, as responsabilidades respectivas de cada instância desse Sistema, os recursos necessários, inclusive contrapartidas financeiras e fontes de financiamento</w:t>
      </w:r>
      <w:r w:rsidRPr="0038406D">
        <w:t>.</w:t>
      </w:r>
    </w:p>
    <w:p w:rsidR="00C23373" w:rsidRDefault="00C23373" w:rsidP="00C23373">
      <w:pPr>
        <w:pStyle w:val="05-Pargrafodetexto-CLG"/>
      </w:pPr>
      <w:r w:rsidRPr="0038406D">
        <w:t>Propomos também que a distribuição dos recursos leve em consideração</w:t>
      </w:r>
      <w:proofErr w:type="gramStart"/>
      <w:r w:rsidRPr="0038406D">
        <w:t xml:space="preserve">  </w:t>
      </w:r>
      <w:proofErr w:type="gramEnd"/>
      <w:r w:rsidRPr="0038406D">
        <w:t>metas e parâmetros relativos à realidade de cada ente, como no aspecto físico e territorial: área plantada (ha), extensão de fronteiras internacionais (Km²), imóveis rurais cadastrados; no aspecto técnico e demográfico: rebanhos bovídeos registrados (cabeças), galináceos registrados (cabeças), rebanhos suínos registrados (cabeças), população rural; e como no aspecto econômico: valor bruto da produção de lavouras (R$), exportações agropecuárias (U$) e participação de pessoal ocupado na agricultura familiar.</w:t>
      </w:r>
    </w:p>
    <w:p w:rsidR="00C23373" w:rsidRPr="0038406D" w:rsidRDefault="00C23373" w:rsidP="00C23373">
      <w:pPr>
        <w:pStyle w:val="05-Pargrafodetexto-CLG"/>
      </w:pPr>
      <w:r w:rsidRPr="00C23373">
        <w:t>Os parâmetros acima referidos foram, por meio de um modelo matemático que consta do Anexo do PLS, arranjados objetivamente de forma a conferir maior eficiência, equidade e proporcionalidade na distribuição dos recursos.</w:t>
      </w:r>
    </w:p>
    <w:p w:rsidR="00C23373" w:rsidRPr="0038406D" w:rsidRDefault="00C23373" w:rsidP="00C23373">
      <w:pPr>
        <w:pStyle w:val="05-Pargrafodetexto-CLG"/>
      </w:pPr>
      <w:r w:rsidRPr="0038406D">
        <w:t>Quanto à exigência de contrapartidas, o projeto oferece os parâmetros a serem utilizados na definição da contrapartida financeira dos entes favorecidos, como a capacidade financeira ou a eventual localização do favorecido em área de abrangência das superintendências de desenvolvimento regionais ou na faixa de fronteira.</w:t>
      </w:r>
    </w:p>
    <w:p w:rsidR="00C23373" w:rsidRPr="0038406D" w:rsidRDefault="00C23373" w:rsidP="00C23373">
      <w:pPr>
        <w:pStyle w:val="05-Pargrafodetexto-CLG"/>
      </w:pPr>
      <w:r w:rsidRPr="0038406D">
        <w:t>A proposta prevê a partilha de 80% dos recursos destinados aos repasses federais, ficando o restante (20%) destinado, a critério do MAPA, para aplicação de acordo com a necessidade de possível compensação para determinados entes (Estados ou Municípios) ou para ações e projetos especiais, como, por exemplo, no caso de uma emergência sanitária.</w:t>
      </w:r>
    </w:p>
    <w:p w:rsidR="00C23373" w:rsidRPr="0038406D" w:rsidRDefault="00C23373" w:rsidP="00C23373">
      <w:pPr>
        <w:pStyle w:val="05-Pargrafodetexto-CLG"/>
      </w:pPr>
      <w:r w:rsidRPr="0038406D">
        <w:t xml:space="preserve">O Projeto cuida, por fim, de questões relativas à prestação de contas e medidas de transparência, privilegiando o intercâmbio eletrônico de informações e prevendo a disponibilização ao público, em sítio da </w:t>
      </w:r>
      <w:r w:rsidRPr="0038406D">
        <w:lastRenderedPageBreak/>
        <w:t>Internet, de demonstrativos de recursos transferidos, saldos aplicados e despesas realizadas, dos Planos Plurianuais de Atenção à Sanidade Agropecuária, bem como das prestações de contas.</w:t>
      </w:r>
    </w:p>
    <w:p w:rsidR="00C23373" w:rsidRPr="0038406D" w:rsidRDefault="00C23373" w:rsidP="00C23373">
      <w:pPr>
        <w:pStyle w:val="05-Pargrafodetexto-CLG"/>
        <w:rPr>
          <w:szCs w:val="28"/>
        </w:rPr>
      </w:pPr>
      <w:r w:rsidRPr="0038406D">
        <w:t>A proposta implanta Critérios de Partilha, através da tabela de indicadores agropecuários, tendo como referência os dados dos órgãos oficiais, criando parâmetros avaliativos para a distribuição, mais justa e equânime, dos recursos financeiros.</w:t>
      </w:r>
    </w:p>
    <w:p w:rsidR="00C23373" w:rsidRPr="0038406D" w:rsidRDefault="00C23373" w:rsidP="00C23373">
      <w:pPr>
        <w:pStyle w:val="05-Pargrafodetexto-CLG"/>
        <w:rPr>
          <w:szCs w:val="28"/>
        </w:rPr>
      </w:pPr>
      <w:r w:rsidRPr="0038406D">
        <w:t xml:space="preserve">Tenho claro que, com a </w:t>
      </w:r>
      <w:proofErr w:type="gramStart"/>
      <w:r w:rsidRPr="0038406D">
        <w:t>implementação</w:t>
      </w:r>
      <w:proofErr w:type="gramEnd"/>
      <w:r w:rsidRPr="0038406D">
        <w:t xml:space="preserve"> do novo Sistema de partilha e repasse de recursos, realizado de forma técnica, transparente e democrática, vamos assegurar, além da regularidade dos repasses e a integração entre os Municípios, Estados e a União, a garantia de maior segurança e clareza em sua distribuição, como também maior participação dos órgãos executores na elaboração das metas de acordo com a realidade de cada região, o que, sem dúvida, fortalecerá o agronegócio, setor tão importante para a economia e o desenvolvimento social do Brasil.</w:t>
      </w:r>
    </w:p>
    <w:p w:rsidR="00C23373" w:rsidRPr="0038406D" w:rsidRDefault="00C23373" w:rsidP="00C23373">
      <w:pPr>
        <w:pStyle w:val="05-Pargrafodetexto-CLG"/>
      </w:pPr>
      <w:r w:rsidRPr="0038406D">
        <w:t>Peço, portanto, o apoio dos nobres colegas desta Casa Legislativa a essa relevante proposição.</w:t>
      </w:r>
    </w:p>
    <w:p w:rsidR="00C23373" w:rsidRPr="0038406D" w:rsidRDefault="00C23373" w:rsidP="00C23373">
      <w:pPr>
        <w:pStyle w:val="09-Local-CLG"/>
      </w:pPr>
      <w:r w:rsidRPr="0038406D">
        <w:t>Sala das Sessões,</w:t>
      </w:r>
    </w:p>
    <w:p w:rsidR="00C23373" w:rsidRPr="00FD1122" w:rsidRDefault="00C23373" w:rsidP="00C23373">
      <w:pPr>
        <w:pStyle w:val="10-IdentificaoParlamentar-CLG"/>
        <w:rPr>
          <w:caps/>
          <w:color w:val="auto"/>
        </w:rPr>
      </w:pPr>
      <w:r w:rsidRPr="0038406D">
        <w:rPr>
          <w:color w:val="auto"/>
        </w:rPr>
        <w:t xml:space="preserve">Senador </w:t>
      </w:r>
      <w:r w:rsidRPr="0038406D">
        <w:rPr>
          <w:caps/>
          <w:color w:val="auto"/>
        </w:rPr>
        <w:t>Roberto Muniz</w:t>
      </w:r>
    </w:p>
    <w:p w:rsidR="00C23373" w:rsidRPr="00C23373" w:rsidRDefault="00C23373" w:rsidP="00C23373">
      <w:pPr>
        <w:pStyle w:val="05-Pargrafodetexto-CLG"/>
      </w:pPr>
    </w:p>
    <w:p w:rsidR="00605F50" w:rsidRDefault="00605F50" w:rsidP="00605F50">
      <w:pPr>
        <w:pStyle w:val="05-Pargrafodetexto-CLG"/>
      </w:pPr>
    </w:p>
    <w:p w:rsidR="00605F50" w:rsidRDefault="00605F50" w:rsidP="00605F50">
      <w:pPr>
        <w:pStyle w:val="05-Pargrafodetexto-CLG"/>
      </w:pPr>
    </w:p>
    <w:p w:rsidR="00605F50" w:rsidRPr="00605F50" w:rsidRDefault="00605F50" w:rsidP="00605F50">
      <w:pPr>
        <w:pStyle w:val="05-Pargrafodetexto-CLG"/>
      </w:pPr>
    </w:p>
    <w:sectPr w:rsidR="00605F50" w:rsidRPr="00605F50" w:rsidSect="000D5FC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00" w:rsidRDefault="00BC2F00" w:rsidP="000D5FCB">
      <w:pPr>
        <w:spacing w:after="0" w:line="240" w:lineRule="auto"/>
      </w:pPr>
      <w:r>
        <w:separator/>
      </w:r>
    </w:p>
  </w:endnote>
  <w:endnote w:type="continuationSeparator" w:id="0">
    <w:p w:rsidR="00BC2F00" w:rsidRDefault="00BC2F00" w:rsidP="000D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7A" w:rsidRDefault="008C1E2E">
    <w:pPr>
      <w:pStyle w:val="Rodap"/>
      <w:rPr>
        <w:i/>
        <w:sz w:val="18"/>
      </w:rPr>
    </w:pPr>
    <w:proofErr w:type="gramStart"/>
    <w:r w:rsidRPr="008C1E2E">
      <w:rPr>
        <w:i/>
        <w:sz w:val="18"/>
      </w:rPr>
      <w:t>ev2016</w:t>
    </w:r>
    <w:proofErr w:type="gramEnd"/>
    <w:r w:rsidRPr="008C1E2E">
      <w:rPr>
        <w:i/>
        <w:sz w:val="18"/>
      </w:rPr>
      <w:t>-06133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00" w:rsidRDefault="00BC2F00" w:rsidP="000D5FCB">
      <w:pPr>
        <w:spacing w:after="0" w:line="240" w:lineRule="auto"/>
      </w:pPr>
      <w:r>
        <w:separator/>
      </w:r>
    </w:p>
  </w:footnote>
  <w:footnote w:type="continuationSeparator" w:id="0">
    <w:p w:rsidR="00BC2F00" w:rsidRDefault="00BC2F00" w:rsidP="000D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7A" w:rsidRDefault="005D4D69" w:rsidP="000D5F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4BB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0C7A" w:rsidRDefault="00F84EBD">
    <w:pPr>
      <w:pStyle w:val="Cabealho"/>
      <w:ind w:right="360"/>
    </w:pPr>
  </w:p>
  <w:p w:rsidR="00BE0C7A" w:rsidRDefault="00F84E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7A" w:rsidRDefault="005D4D69" w:rsidP="000D5F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4B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4EBD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BE0C7A" w:rsidRDefault="00F84EBD">
    <w:pPr>
      <w:pStyle w:val="Cabealho"/>
      <w:ind w:right="360"/>
    </w:pPr>
  </w:p>
  <w:p w:rsidR="00BE0C7A" w:rsidRDefault="00F84E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B7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A3D4ED4"/>
    <w:multiLevelType w:val="hybridMultilevel"/>
    <w:tmpl w:val="AB08CDD0"/>
    <w:lvl w:ilvl="0" w:tplc="2140EDA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B9848AE"/>
    <w:multiLevelType w:val="hybridMultilevel"/>
    <w:tmpl w:val="38A8E40E"/>
    <w:lvl w:ilvl="0" w:tplc="659471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8B27E9E"/>
    <w:multiLevelType w:val="hybridMultilevel"/>
    <w:tmpl w:val="0FD817AE"/>
    <w:lvl w:ilvl="0" w:tplc="B0D42C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D560572"/>
    <w:multiLevelType w:val="hybridMultilevel"/>
    <w:tmpl w:val="C10C962E"/>
    <w:lvl w:ilvl="0" w:tplc="EEB087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0B53057"/>
    <w:multiLevelType w:val="hybridMultilevel"/>
    <w:tmpl w:val="33BAC116"/>
    <w:lvl w:ilvl="0" w:tplc="051AFE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1691F33"/>
    <w:multiLevelType w:val="hybridMultilevel"/>
    <w:tmpl w:val="1E8A1B18"/>
    <w:lvl w:ilvl="0" w:tplc="025E52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27C4D71"/>
    <w:multiLevelType w:val="hybridMultilevel"/>
    <w:tmpl w:val="51DCCA1C"/>
    <w:lvl w:ilvl="0" w:tplc="AF6AF3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449D0ED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CD67E3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CB"/>
    <w:rsid w:val="00002111"/>
    <w:rsid w:val="00011C85"/>
    <w:rsid w:val="000131DD"/>
    <w:rsid w:val="00023BFA"/>
    <w:rsid w:val="00023CA1"/>
    <w:rsid w:val="00026129"/>
    <w:rsid w:val="00026184"/>
    <w:rsid w:val="00034D01"/>
    <w:rsid w:val="00037551"/>
    <w:rsid w:val="00037F16"/>
    <w:rsid w:val="00057583"/>
    <w:rsid w:val="00061BD6"/>
    <w:rsid w:val="00067825"/>
    <w:rsid w:val="000818CC"/>
    <w:rsid w:val="00084E49"/>
    <w:rsid w:val="000A07A6"/>
    <w:rsid w:val="000A186B"/>
    <w:rsid w:val="000B3439"/>
    <w:rsid w:val="000C0591"/>
    <w:rsid w:val="000C6886"/>
    <w:rsid w:val="000D1FED"/>
    <w:rsid w:val="000D5FCB"/>
    <w:rsid w:val="000D6807"/>
    <w:rsid w:val="00123793"/>
    <w:rsid w:val="00131DFA"/>
    <w:rsid w:val="0013381A"/>
    <w:rsid w:val="0014058C"/>
    <w:rsid w:val="00142F32"/>
    <w:rsid w:val="00143FCB"/>
    <w:rsid w:val="0014445B"/>
    <w:rsid w:val="001727EE"/>
    <w:rsid w:val="00177B23"/>
    <w:rsid w:val="001849CC"/>
    <w:rsid w:val="0019646D"/>
    <w:rsid w:val="001A0767"/>
    <w:rsid w:val="001A403D"/>
    <w:rsid w:val="001C32D9"/>
    <w:rsid w:val="001D1A44"/>
    <w:rsid w:val="001E12AF"/>
    <w:rsid w:val="001F7636"/>
    <w:rsid w:val="00237EDB"/>
    <w:rsid w:val="00272659"/>
    <w:rsid w:val="00282EEB"/>
    <w:rsid w:val="00284CC4"/>
    <w:rsid w:val="002A20F2"/>
    <w:rsid w:val="002B0CFB"/>
    <w:rsid w:val="002B445C"/>
    <w:rsid w:val="002B666A"/>
    <w:rsid w:val="002D28ED"/>
    <w:rsid w:val="002D374F"/>
    <w:rsid w:val="002E2AC7"/>
    <w:rsid w:val="002E7396"/>
    <w:rsid w:val="003116A2"/>
    <w:rsid w:val="003276F7"/>
    <w:rsid w:val="0033211E"/>
    <w:rsid w:val="00343C5C"/>
    <w:rsid w:val="00370147"/>
    <w:rsid w:val="00370FAD"/>
    <w:rsid w:val="00377873"/>
    <w:rsid w:val="003805B8"/>
    <w:rsid w:val="003A2215"/>
    <w:rsid w:val="003B0574"/>
    <w:rsid w:val="003C3F42"/>
    <w:rsid w:val="003C783E"/>
    <w:rsid w:val="003D2809"/>
    <w:rsid w:val="003D40B0"/>
    <w:rsid w:val="003E0876"/>
    <w:rsid w:val="003E0B29"/>
    <w:rsid w:val="003E6CDB"/>
    <w:rsid w:val="004176CF"/>
    <w:rsid w:val="00421F24"/>
    <w:rsid w:val="00423656"/>
    <w:rsid w:val="0042688A"/>
    <w:rsid w:val="00427D01"/>
    <w:rsid w:val="00427F8B"/>
    <w:rsid w:val="004304F5"/>
    <w:rsid w:val="00436985"/>
    <w:rsid w:val="0043703E"/>
    <w:rsid w:val="0046704F"/>
    <w:rsid w:val="0047503C"/>
    <w:rsid w:val="004772AD"/>
    <w:rsid w:val="0048530C"/>
    <w:rsid w:val="00487873"/>
    <w:rsid w:val="0049215F"/>
    <w:rsid w:val="004921FD"/>
    <w:rsid w:val="004B00DE"/>
    <w:rsid w:val="004C5E4B"/>
    <w:rsid w:val="004D6BB0"/>
    <w:rsid w:val="00522B27"/>
    <w:rsid w:val="00525993"/>
    <w:rsid w:val="00533775"/>
    <w:rsid w:val="00544D01"/>
    <w:rsid w:val="005601CE"/>
    <w:rsid w:val="005622AE"/>
    <w:rsid w:val="00571172"/>
    <w:rsid w:val="005754F2"/>
    <w:rsid w:val="00575800"/>
    <w:rsid w:val="00583CD8"/>
    <w:rsid w:val="0059123B"/>
    <w:rsid w:val="0059291D"/>
    <w:rsid w:val="00593DB2"/>
    <w:rsid w:val="00596091"/>
    <w:rsid w:val="00597525"/>
    <w:rsid w:val="005C522D"/>
    <w:rsid w:val="005D4D69"/>
    <w:rsid w:val="00601F20"/>
    <w:rsid w:val="00602F90"/>
    <w:rsid w:val="00605F50"/>
    <w:rsid w:val="00610A62"/>
    <w:rsid w:val="00640F3A"/>
    <w:rsid w:val="0065571E"/>
    <w:rsid w:val="006606BF"/>
    <w:rsid w:val="006613D7"/>
    <w:rsid w:val="00664432"/>
    <w:rsid w:val="00692497"/>
    <w:rsid w:val="006A1D94"/>
    <w:rsid w:val="006A6C9C"/>
    <w:rsid w:val="006A6D66"/>
    <w:rsid w:val="006B6608"/>
    <w:rsid w:val="006C5E4B"/>
    <w:rsid w:val="006E134E"/>
    <w:rsid w:val="006E4B92"/>
    <w:rsid w:val="007040E9"/>
    <w:rsid w:val="00714759"/>
    <w:rsid w:val="00735570"/>
    <w:rsid w:val="00744BB4"/>
    <w:rsid w:val="0074530B"/>
    <w:rsid w:val="00753503"/>
    <w:rsid w:val="007827F2"/>
    <w:rsid w:val="007A341A"/>
    <w:rsid w:val="007B540E"/>
    <w:rsid w:val="007D1707"/>
    <w:rsid w:val="007D30C4"/>
    <w:rsid w:val="007F0E36"/>
    <w:rsid w:val="007F6BA1"/>
    <w:rsid w:val="008054AF"/>
    <w:rsid w:val="008113D2"/>
    <w:rsid w:val="008133EC"/>
    <w:rsid w:val="0081700C"/>
    <w:rsid w:val="00822039"/>
    <w:rsid w:val="00824F62"/>
    <w:rsid w:val="0083055A"/>
    <w:rsid w:val="00853B30"/>
    <w:rsid w:val="008749B9"/>
    <w:rsid w:val="00887E4F"/>
    <w:rsid w:val="008A2ED5"/>
    <w:rsid w:val="008B257A"/>
    <w:rsid w:val="008B5603"/>
    <w:rsid w:val="008C1E2E"/>
    <w:rsid w:val="008F2B7D"/>
    <w:rsid w:val="008F72EE"/>
    <w:rsid w:val="00903667"/>
    <w:rsid w:val="00932E14"/>
    <w:rsid w:val="00954804"/>
    <w:rsid w:val="00963265"/>
    <w:rsid w:val="00981143"/>
    <w:rsid w:val="00982DC0"/>
    <w:rsid w:val="0098696A"/>
    <w:rsid w:val="00995FEE"/>
    <w:rsid w:val="009E097A"/>
    <w:rsid w:val="009E0ED4"/>
    <w:rsid w:val="009E2AF3"/>
    <w:rsid w:val="00A112DF"/>
    <w:rsid w:val="00A20A8F"/>
    <w:rsid w:val="00A321FB"/>
    <w:rsid w:val="00A3408A"/>
    <w:rsid w:val="00A36855"/>
    <w:rsid w:val="00A82384"/>
    <w:rsid w:val="00A90DD9"/>
    <w:rsid w:val="00A953C1"/>
    <w:rsid w:val="00AB7ED7"/>
    <w:rsid w:val="00AC0125"/>
    <w:rsid w:val="00AC626E"/>
    <w:rsid w:val="00AC7B70"/>
    <w:rsid w:val="00AD7541"/>
    <w:rsid w:val="00AE3A3A"/>
    <w:rsid w:val="00B039BE"/>
    <w:rsid w:val="00B11999"/>
    <w:rsid w:val="00B11F59"/>
    <w:rsid w:val="00B17590"/>
    <w:rsid w:val="00B23552"/>
    <w:rsid w:val="00B35E94"/>
    <w:rsid w:val="00B3693F"/>
    <w:rsid w:val="00B4328A"/>
    <w:rsid w:val="00B457C4"/>
    <w:rsid w:val="00B650AF"/>
    <w:rsid w:val="00B75386"/>
    <w:rsid w:val="00B806AA"/>
    <w:rsid w:val="00B8365A"/>
    <w:rsid w:val="00B87084"/>
    <w:rsid w:val="00B909AD"/>
    <w:rsid w:val="00B96520"/>
    <w:rsid w:val="00B97338"/>
    <w:rsid w:val="00BA0580"/>
    <w:rsid w:val="00BB45D7"/>
    <w:rsid w:val="00BC2F00"/>
    <w:rsid w:val="00BD26E9"/>
    <w:rsid w:val="00BD71C2"/>
    <w:rsid w:val="00BD7A13"/>
    <w:rsid w:val="00BE2A89"/>
    <w:rsid w:val="00BE6C62"/>
    <w:rsid w:val="00BF0DFD"/>
    <w:rsid w:val="00C00593"/>
    <w:rsid w:val="00C1194B"/>
    <w:rsid w:val="00C23373"/>
    <w:rsid w:val="00C350E0"/>
    <w:rsid w:val="00C451AF"/>
    <w:rsid w:val="00C55B60"/>
    <w:rsid w:val="00C55FBA"/>
    <w:rsid w:val="00C626F3"/>
    <w:rsid w:val="00C81B92"/>
    <w:rsid w:val="00C91164"/>
    <w:rsid w:val="00C91D8C"/>
    <w:rsid w:val="00CA35F6"/>
    <w:rsid w:val="00CA727F"/>
    <w:rsid w:val="00CB5ED7"/>
    <w:rsid w:val="00CD0A19"/>
    <w:rsid w:val="00D214B0"/>
    <w:rsid w:val="00D5297B"/>
    <w:rsid w:val="00D5315F"/>
    <w:rsid w:val="00D67721"/>
    <w:rsid w:val="00D756A8"/>
    <w:rsid w:val="00D82FA2"/>
    <w:rsid w:val="00D90BC5"/>
    <w:rsid w:val="00DA5D55"/>
    <w:rsid w:val="00DB73E7"/>
    <w:rsid w:val="00DD1ADE"/>
    <w:rsid w:val="00DD7421"/>
    <w:rsid w:val="00E150E0"/>
    <w:rsid w:val="00E318CC"/>
    <w:rsid w:val="00E35E23"/>
    <w:rsid w:val="00E620F8"/>
    <w:rsid w:val="00E629EC"/>
    <w:rsid w:val="00E654D1"/>
    <w:rsid w:val="00E6746D"/>
    <w:rsid w:val="00E749FA"/>
    <w:rsid w:val="00E76C28"/>
    <w:rsid w:val="00E801A0"/>
    <w:rsid w:val="00E8236C"/>
    <w:rsid w:val="00E94107"/>
    <w:rsid w:val="00EA2E43"/>
    <w:rsid w:val="00EC125E"/>
    <w:rsid w:val="00EC6AD3"/>
    <w:rsid w:val="00F006D4"/>
    <w:rsid w:val="00F01573"/>
    <w:rsid w:val="00F02CC1"/>
    <w:rsid w:val="00F073EA"/>
    <w:rsid w:val="00F33A0C"/>
    <w:rsid w:val="00F35694"/>
    <w:rsid w:val="00F439BB"/>
    <w:rsid w:val="00F45128"/>
    <w:rsid w:val="00F45FFD"/>
    <w:rsid w:val="00F50FF1"/>
    <w:rsid w:val="00F52921"/>
    <w:rsid w:val="00F55A70"/>
    <w:rsid w:val="00F56077"/>
    <w:rsid w:val="00F576EB"/>
    <w:rsid w:val="00F6121B"/>
    <w:rsid w:val="00F663CD"/>
    <w:rsid w:val="00F669EA"/>
    <w:rsid w:val="00F71858"/>
    <w:rsid w:val="00F73AE8"/>
    <w:rsid w:val="00F84EBD"/>
    <w:rsid w:val="00F864AC"/>
    <w:rsid w:val="00F867E5"/>
    <w:rsid w:val="00F920C0"/>
    <w:rsid w:val="00F938B6"/>
    <w:rsid w:val="00FA65DE"/>
    <w:rsid w:val="00FB1E31"/>
    <w:rsid w:val="00FB5FAB"/>
    <w:rsid w:val="00FB6CA8"/>
    <w:rsid w:val="00FB6FFD"/>
    <w:rsid w:val="00FC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2B0CF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5F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5F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D5F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0C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5F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2B0C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nhideWhenUsed/>
    <w:rsid w:val="000D5FCB"/>
  </w:style>
  <w:style w:type="paragraph" w:customStyle="1" w:styleId="01-Minuta-CLG">
    <w:name w:val="01 - Minuta - CLG"/>
    <w:link w:val="01-Minuta-CLGChar"/>
    <w:rsid w:val="000D5FCB"/>
    <w:pPr>
      <w:spacing w:after="18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2-TtuloPrincipal-CLG">
    <w:name w:val="02 - Título Principal - CLG"/>
    <w:link w:val="02-TtuloPrincipal-CLGChar"/>
    <w:rsid w:val="000D5FCB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0D5FCB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6-Justificao-CLG">
    <w:name w:val="06 - Justificação - CLG"/>
    <w:next w:val="05-Pargrafodetexto-CLG"/>
    <w:link w:val="06-Justificao-CLGChar"/>
    <w:qFormat/>
    <w:rsid w:val="002B0CFB"/>
    <w:pPr>
      <w:keepNext/>
      <w:keepLines/>
      <w:spacing w:before="600" w:after="4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customStyle="1" w:styleId="05-Pargrafodetexto-CLG">
    <w:name w:val="05 - Parágrafo de texto - CLG"/>
    <w:link w:val="05-Pargrafodetexto-CLGChar"/>
    <w:qFormat/>
    <w:rsid w:val="000D5FC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9-Local-CLG">
    <w:name w:val="09 - Local - CLG"/>
    <w:link w:val="09-Local-CLGChar"/>
    <w:rsid w:val="000D5FCB"/>
    <w:pPr>
      <w:spacing w:before="960" w:after="720" w:line="240" w:lineRule="auto"/>
      <w:ind w:firstLine="252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10-IdentificaoParlamentar-CLG">
    <w:name w:val="10 - Identificação Parlamentar - CLG"/>
    <w:link w:val="10-IdentificaoParlamentar-CLGChar"/>
    <w:rsid w:val="000D5FCB"/>
    <w:pPr>
      <w:spacing w:after="0" w:line="360" w:lineRule="auto"/>
      <w:ind w:left="3402"/>
    </w:pPr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character" w:customStyle="1" w:styleId="01-Minuta-CLGChar">
    <w:name w:val="01 - Minuta - CLG Char"/>
    <w:basedOn w:val="Fontepargpadro"/>
    <w:link w:val="01-Minuta-CLG"/>
    <w:rsid w:val="000D5F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2-TtuloPrincipal-CLGChar">
    <w:name w:val="02 - Título Principal - CLG Char"/>
    <w:basedOn w:val="Fontepargpadro"/>
    <w:link w:val="02-TtuloPrincipal-CLG"/>
    <w:rsid w:val="000D5FCB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3-Ementa-CLGChar">
    <w:name w:val="03 - Ementa - CLG Char"/>
    <w:basedOn w:val="Fontepargpadro"/>
    <w:link w:val="03-Ementa-CLG"/>
    <w:rsid w:val="000D5F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rsid w:val="000D5FC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6-Justificao-CLGChar">
    <w:name w:val="06 - Justificação - CLG Char"/>
    <w:basedOn w:val="Fontepargpadro"/>
    <w:link w:val="06-Justificao-CLG"/>
    <w:rsid w:val="002B0CF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09-Local-CLGChar">
    <w:name w:val="09 - Local - CLG Char"/>
    <w:basedOn w:val="Fontepargpadro"/>
    <w:link w:val="09-Local-CLG"/>
    <w:rsid w:val="000D5FC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10-IdentificaoParlamentar-CLGChar">
    <w:name w:val="10 - Identificação Parlamentar - CLG Char"/>
    <w:basedOn w:val="Fontepargpadro"/>
    <w:link w:val="10-IdentificaoParlamentar-CLG"/>
    <w:rsid w:val="000D5FCB"/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paragraph" w:customStyle="1" w:styleId="03-EmentadeParecer-CLG">
    <w:name w:val="03 - Ementa de Parecer - CLG"/>
    <w:basedOn w:val="Ttulo5"/>
    <w:semiHidden/>
    <w:rsid w:val="000D5FCB"/>
    <w:pPr>
      <w:keepNext w:val="0"/>
      <w:keepLines w:val="0"/>
      <w:spacing w:before="0" w:after="960" w:line="240" w:lineRule="auto"/>
      <w:ind w:left="3686"/>
      <w:jc w:val="both"/>
    </w:pPr>
    <w:rPr>
      <w:rFonts w:ascii="Times New Roman" w:eastAsia="Arial Unicode MS" w:hAnsi="Times New Roman" w:cs="Times New Roman"/>
      <w:color w:val="auto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0CF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04-Relatoria-CLG">
    <w:name w:val="04 - Relatoria - CLG"/>
    <w:rsid w:val="000D5FCB"/>
    <w:pPr>
      <w:spacing w:after="960" w:line="240" w:lineRule="auto"/>
      <w:ind w:left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7-Citaolegal-CLG">
    <w:name w:val="07 - Citação legal - CLG"/>
    <w:qFormat/>
    <w:rsid w:val="000D5FCB"/>
    <w:pPr>
      <w:spacing w:after="120" w:line="240" w:lineRule="auto"/>
      <w:ind w:left="1985"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customStyle="1" w:styleId="08-Citaolegal-ltimalinha-CLG">
    <w:name w:val="08 - Citação legal - última linha - CLG"/>
    <w:qFormat/>
    <w:rsid w:val="000D5FCB"/>
    <w:pPr>
      <w:spacing w:after="480" w:line="240" w:lineRule="auto"/>
      <w:ind w:left="1985"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9-Ttuloemenda-CLG">
    <w:name w:val="09 - Título emenda - CLG"/>
    <w:basedOn w:val="Ttulo2"/>
    <w:semiHidden/>
    <w:rsid w:val="000D5FCB"/>
    <w:pPr>
      <w:keepLines w:val="0"/>
      <w:spacing w:before="480" w:after="360" w:line="240" w:lineRule="auto"/>
      <w:jc w:val="center"/>
    </w:pPr>
    <w:rPr>
      <w:rFonts w:ascii="Times New Roman" w:eastAsia="Times New Roman" w:hAnsi="Times New Roman" w:cs="Times New Roman"/>
      <w:color w:val="auto"/>
      <w:spacing w:val="-4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0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427D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7D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7D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7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7D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D01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95FEE"/>
    <w:pPr>
      <w:spacing w:after="0" w:line="240" w:lineRule="auto"/>
    </w:pPr>
  </w:style>
  <w:style w:type="paragraph" w:customStyle="1" w:styleId="artigo">
    <w:name w:val="artigo"/>
    <w:basedOn w:val="Normal"/>
    <w:rsid w:val="0099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6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FB7E-DD79-421D-8748-9C793E85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3350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conleg@senado.leg.br</dc:creator>
  <cp:lastModifiedBy>ldiniz</cp:lastModifiedBy>
  <cp:revision>4</cp:revision>
  <cp:lastPrinted>2016-08-26T15:04:00Z</cp:lastPrinted>
  <dcterms:created xsi:type="dcterms:W3CDTF">2016-08-26T17:19:00Z</dcterms:created>
  <dcterms:modified xsi:type="dcterms:W3CDTF">2016-10-20T11:49:00Z</dcterms:modified>
</cp:coreProperties>
</file>