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62" w:rsidRPr="000476A7" w:rsidRDefault="001E2462" w:rsidP="001E2462">
      <w:pPr>
        <w:pStyle w:val="Ttulo"/>
        <w:spacing w:after="240"/>
        <w:rPr>
          <w:sz w:val="26"/>
          <w:szCs w:val="26"/>
        </w:rPr>
      </w:pPr>
      <w:bookmarkStart w:id="0" w:name="_GoBack"/>
      <w:bookmarkEnd w:id="0"/>
      <w:r w:rsidRPr="000476A7">
        <w:rPr>
          <w:sz w:val="26"/>
          <w:szCs w:val="26"/>
        </w:rPr>
        <w:t>RELATÓRIO</w:t>
      </w:r>
      <w:r w:rsidR="00E146C6" w:rsidRPr="000476A7">
        <w:rPr>
          <w:sz w:val="26"/>
          <w:szCs w:val="26"/>
        </w:rPr>
        <w:t xml:space="preserve"> </w:t>
      </w:r>
      <w:r w:rsidR="00003461">
        <w:rPr>
          <w:sz w:val="26"/>
          <w:szCs w:val="26"/>
        </w:rPr>
        <w:t>FINAL</w:t>
      </w:r>
      <w:r w:rsidR="00CB39F1" w:rsidRPr="000476A7">
        <w:rPr>
          <w:sz w:val="26"/>
          <w:szCs w:val="26"/>
        </w:rPr>
        <w:t xml:space="preserve"> </w:t>
      </w:r>
      <w:r w:rsidR="00E146C6" w:rsidRPr="000476A7">
        <w:rPr>
          <w:sz w:val="26"/>
          <w:szCs w:val="26"/>
        </w:rPr>
        <w:t>Nº</w:t>
      </w:r>
      <w:r w:rsidR="00E76355" w:rsidRPr="000476A7">
        <w:rPr>
          <w:sz w:val="26"/>
          <w:szCs w:val="26"/>
        </w:rPr>
        <w:t xml:space="preserve"> </w:t>
      </w:r>
      <w:r w:rsidR="00015F87" w:rsidRPr="000476A7">
        <w:rPr>
          <w:sz w:val="26"/>
          <w:szCs w:val="26"/>
        </w:rPr>
        <w:t xml:space="preserve">      </w:t>
      </w:r>
      <w:r w:rsidR="00A12E5A" w:rsidRPr="000476A7">
        <w:rPr>
          <w:sz w:val="26"/>
          <w:szCs w:val="26"/>
        </w:rPr>
        <w:sym w:font="Symbol" w:char="F02D"/>
      </w:r>
      <w:r w:rsidR="00A12E5A" w:rsidRPr="000476A7">
        <w:rPr>
          <w:sz w:val="26"/>
          <w:szCs w:val="26"/>
        </w:rPr>
        <w:t xml:space="preserve"> </w:t>
      </w:r>
      <w:r w:rsidR="00753D9B" w:rsidRPr="000476A7">
        <w:rPr>
          <w:sz w:val="26"/>
          <w:szCs w:val="26"/>
        </w:rPr>
        <w:t>CI</w:t>
      </w:r>
      <w:r w:rsidR="00E146C6" w:rsidRPr="000476A7">
        <w:rPr>
          <w:sz w:val="26"/>
          <w:szCs w:val="26"/>
        </w:rPr>
        <w:t>, 201</w:t>
      </w:r>
      <w:r w:rsidR="00CB39F1" w:rsidRPr="000476A7">
        <w:rPr>
          <w:sz w:val="26"/>
          <w:szCs w:val="26"/>
        </w:rPr>
        <w:t>5</w:t>
      </w:r>
    </w:p>
    <w:p w:rsidR="009F68D3" w:rsidRPr="000476A7" w:rsidRDefault="009F68D3" w:rsidP="001E2462">
      <w:pPr>
        <w:pStyle w:val="Ttulo"/>
        <w:spacing w:after="240"/>
        <w:rPr>
          <w:sz w:val="26"/>
          <w:szCs w:val="26"/>
        </w:rPr>
      </w:pPr>
    </w:p>
    <w:p w:rsidR="005A5F1B" w:rsidRPr="000476A7" w:rsidRDefault="005A5F1B" w:rsidP="001E2462">
      <w:pPr>
        <w:pStyle w:val="Ttulo"/>
        <w:spacing w:after="240"/>
        <w:rPr>
          <w:sz w:val="26"/>
          <w:szCs w:val="26"/>
        </w:rPr>
      </w:pPr>
    </w:p>
    <w:p w:rsidR="00A12E5A" w:rsidRPr="000476A7" w:rsidRDefault="00A12E5A" w:rsidP="00A12E5A">
      <w:pPr>
        <w:pStyle w:val="04-PargrafodetextoEstudoNotas-CLG"/>
        <w:spacing w:after="120"/>
        <w:ind w:firstLine="0"/>
        <w:jc w:val="center"/>
        <w:rPr>
          <w:b/>
          <w:sz w:val="26"/>
          <w:szCs w:val="26"/>
        </w:rPr>
      </w:pPr>
      <w:r w:rsidRPr="000476A7">
        <w:rPr>
          <w:b/>
          <w:sz w:val="26"/>
          <w:szCs w:val="26"/>
        </w:rPr>
        <w:t>AVALIAÇÃO DE POLÍTICAS PÚBLICAS</w:t>
      </w:r>
    </w:p>
    <w:p w:rsidR="001E2462" w:rsidRPr="000476A7" w:rsidRDefault="00070A30" w:rsidP="00A12E5A">
      <w:pPr>
        <w:pStyle w:val="04-PargrafodetextoEstudoNotas-CLG"/>
        <w:spacing w:after="120"/>
        <w:ind w:firstLine="0"/>
        <w:jc w:val="center"/>
        <w:rPr>
          <w:b/>
          <w:sz w:val="26"/>
          <w:szCs w:val="26"/>
        </w:rPr>
      </w:pPr>
      <w:r w:rsidRPr="000476A7">
        <w:rPr>
          <w:b/>
          <w:sz w:val="26"/>
          <w:szCs w:val="26"/>
        </w:rPr>
        <w:t xml:space="preserve">COMISSÃO DE </w:t>
      </w:r>
      <w:r w:rsidR="00753D9B" w:rsidRPr="000476A7">
        <w:rPr>
          <w:b/>
          <w:sz w:val="26"/>
          <w:szCs w:val="26"/>
        </w:rPr>
        <w:t>SERVIÇOS DE INFRAESTRUTURA</w:t>
      </w:r>
    </w:p>
    <w:p w:rsidR="005A5F1B" w:rsidRPr="000476A7" w:rsidRDefault="005A5F1B" w:rsidP="005A5F1B">
      <w:pPr>
        <w:pStyle w:val="Ttulo"/>
        <w:spacing w:after="240"/>
        <w:rPr>
          <w:sz w:val="26"/>
          <w:szCs w:val="26"/>
        </w:rPr>
      </w:pPr>
    </w:p>
    <w:p w:rsidR="005A5F1B" w:rsidRPr="000476A7" w:rsidRDefault="005A5F1B" w:rsidP="005A5F1B">
      <w:pPr>
        <w:pStyle w:val="Ttulo"/>
        <w:spacing w:after="240"/>
        <w:rPr>
          <w:sz w:val="26"/>
          <w:szCs w:val="26"/>
        </w:rPr>
      </w:pPr>
    </w:p>
    <w:p w:rsidR="005A5F1B" w:rsidRPr="000476A7" w:rsidRDefault="005A5F1B" w:rsidP="005A5F1B">
      <w:pPr>
        <w:pStyle w:val="Ttulo"/>
        <w:spacing w:after="240"/>
        <w:rPr>
          <w:sz w:val="26"/>
          <w:szCs w:val="26"/>
        </w:rPr>
      </w:pPr>
    </w:p>
    <w:p w:rsidR="00A12E5A" w:rsidRPr="000476A7" w:rsidRDefault="00753D9B" w:rsidP="00DB6FD8">
      <w:pPr>
        <w:pStyle w:val="04-PargrafodetextoEstudoNotas-CLG"/>
        <w:spacing w:after="0"/>
        <w:ind w:firstLine="0"/>
        <w:jc w:val="center"/>
        <w:rPr>
          <w:b/>
          <w:smallCaps/>
          <w:sz w:val="26"/>
          <w:szCs w:val="26"/>
        </w:rPr>
      </w:pPr>
      <w:r w:rsidRPr="000476A7">
        <w:rPr>
          <w:b/>
          <w:smallCaps/>
          <w:sz w:val="26"/>
          <w:szCs w:val="26"/>
        </w:rPr>
        <w:t>plano nacional de logística de transportes</w:t>
      </w:r>
      <w:r w:rsidR="00A12E5A" w:rsidRPr="000476A7">
        <w:rPr>
          <w:b/>
          <w:smallCaps/>
          <w:sz w:val="26"/>
          <w:szCs w:val="26"/>
        </w:rPr>
        <w:t xml:space="preserve"> – </w:t>
      </w:r>
      <w:r w:rsidRPr="000476A7">
        <w:rPr>
          <w:b/>
          <w:smallCaps/>
          <w:sz w:val="26"/>
          <w:szCs w:val="26"/>
        </w:rPr>
        <w:t>pnlt</w:t>
      </w:r>
    </w:p>
    <w:p w:rsidR="00DB6FD8" w:rsidRPr="000476A7" w:rsidRDefault="00DB6FD8" w:rsidP="001E2462">
      <w:pPr>
        <w:pStyle w:val="04-PargrafodetextoEstudoNotas-CLG"/>
        <w:spacing w:after="840"/>
        <w:ind w:firstLine="0"/>
        <w:jc w:val="center"/>
        <w:rPr>
          <w:b/>
          <w:smallCaps/>
          <w:sz w:val="26"/>
          <w:szCs w:val="26"/>
        </w:rPr>
      </w:pPr>
      <w:r w:rsidRPr="000476A7">
        <w:rPr>
          <w:b/>
          <w:smallCaps/>
          <w:sz w:val="26"/>
          <w:szCs w:val="26"/>
        </w:rPr>
        <w:t>(integração modal &amp; mobilidade)</w:t>
      </w:r>
    </w:p>
    <w:p w:rsidR="006618F7" w:rsidRPr="000476A7" w:rsidRDefault="003F2A25" w:rsidP="006618F7">
      <w:pPr>
        <w:pStyle w:val="ndicedeilustraes"/>
        <w:tabs>
          <w:tab w:val="right" w:leader="dot" w:pos="8789"/>
        </w:tabs>
        <w:spacing w:before="480" w:after="480"/>
        <w:rPr>
          <w:b/>
          <w:bCs/>
          <w:sz w:val="26"/>
          <w:szCs w:val="26"/>
        </w:rPr>
      </w:pPr>
      <w:r w:rsidRPr="000476A7">
        <w:rPr>
          <w:b/>
          <w:sz w:val="26"/>
          <w:szCs w:val="26"/>
        </w:rPr>
        <w:br w:type="page"/>
      </w:r>
      <w:r w:rsidR="006618F7" w:rsidRPr="000476A7">
        <w:rPr>
          <w:b/>
          <w:bCs/>
          <w:sz w:val="26"/>
          <w:szCs w:val="26"/>
        </w:rPr>
        <w:lastRenderedPageBreak/>
        <w:t>Sumário</w:t>
      </w:r>
    </w:p>
    <w:p w:rsidR="00DF4EF6" w:rsidRDefault="00A50631">
      <w:pPr>
        <w:pStyle w:val="Sumrio1"/>
        <w:tabs>
          <w:tab w:val="right" w:leader="dot" w:pos="8779"/>
        </w:tabs>
        <w:rPr>
          <w:rFonts w:ascii="Calibri" w:hAnsi="Calibri"/>
          <w:smallCaps w:val="0"/>
          <w:noProof/>
          <w:sz w:val="22"/>
        </w:rPr>
      </w:pPr>
      <w:r w:rsidRPr="000476A7">
        <w:rPr>
          <w:rStyle w:val="Hyperlink"/>
          <w:noProof/>
          <w:color w:val="auto"/>
          <w:sz w:val="26"/>
          <w:szCs w:val="26"/>
        </w:rPr>
        <w:fldChar w:fldCharType="begin"/>
      </w:r>
      <w:r w:rsidRPr="000476A7">
        <w:rPr>
          <w:rStyle w:val="Hyperlink"/>
          <w:noProof/>
          <w:color w:val="auto"/>
          <w:sz w:val="26"/>
          <w:szCs w:val="26"/>
        </w:rPr>
        <w:instrText xml:space="preserve"> TOC \o "1-3" \h \z \u </w:instrText>
      </w:r>
      <w:r w:rsidRPr="000476A7">
        <w:rPr>
          <w:rStyle w:val="Hyperlink"/>
          <w:noProof/>
          <w:color w:val="auto"/>
          <w:sz w:val="26"/>
          <w:szCs w:val="26"/>
        </w:rPr>
        <w:fldChar w:fldCharType="separate"/>
      </w:r>
      <w:hyperlink w:anchor="_Toc442974373" w:history="1">
        <w:r w:rsidR="00DF4EF6" w:rsidRPr="0086257A">
          <w:rPr>
            <w:rStyle w:val="Hyperlink"/>
            <w:noProof/>
          </w:rPr>
          <w:t>1.1 Definição</w:t>
        </w:r>
        <w:r w:rsidR="00DF4EF6">
          <w:rPr>
            <w:noProof/>
            <w:webHidden/>
          </w:rPr>
          <w:tab/>
        </w:r>
        <w:r w:rsidR="00DF4EF6">
          <w:rPr>
            <w:noProof/>
            <w:webHidden/>
          </w:rPr>
          <w:fldChar w:fldCharType="begin"/>
        </w:r>
        <w:r w:rsidR="00DF4EF6">
          <w:rPr>
            <w:noProof/>
            <w:webHidden/>
          </w:rPr>
          <w:instrText xml:space="preserve"> PAGEREF _Toc442974373 \h </w:instrText>
        </w:r>
        <w:r w:rsidR="00DF4EF6">
          <w:rPr>
            <w:noProof/>
            <w:webHidden/>
          </w:rPr>
        </w:r>
        <w:r w:rsidR="00DF4EF6">
          <w:rPr>
            <w:noProof/>
            <w:webHidden/>
          </w:rPr>
          <w:fldChar w:fldCharType="separate"/>
        </w:r>
        <w:r w:rsidR="00780B83">
          <w:rPr>
            <w:noProof/>
            <w:webHidden/>
          </w:rPr>
          <w:t>3</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4" w:history="1">
        <w:r w:rsidR="00DF4EF6" w:rsidRPr="0086257A">
          <w:rPr>
            <w:rStyle w:val="Hyperlink"/>
            <w:noProof/>
          </w:rPr>
          <w:t>1.2 Plano de Trabalho</w:t>
        </w:r>
        <w:r w:rsidR="00DF4EF6">
          <w:rPr>
            <w:noProof/>
            <w:webHidden/>
          </w:rPr>
          <w:tab/>
        </w:r>
        <w:r w:rsidR="00DF4EF6">
          <w:rPr>
            <w:noProof/>
            <w:webHidden/>
          </w:rPr>
          <w:fldChar w:fldCharType="begin"/>
        </w:r>
        <w:r w:rsidR="00DF4EF6">
          <w:rPr>
            <w:noProof/>
            <w:webHidden/>
          </w:rPr>
          <w:instrText xml:space="preserve"> PAGEREF _Toc442974374 \h </w:instrText>
        </w:r>
        <w:r w:rsidR="00DF4EF6">
          <w:rPr>
            <w:noProof/>
            <w:webHidden/>
          </w:rPr>
        </w:r>
        <w:r w:rsidR="00DF4EF6">
          <w:rPr>
            <w:noProof/>
            <w:webHidden/>
          </w:rPr>
          <w:fldChar w:fldCharType="separate"/>
        </w:r>
        <w:r w:rsidR="00780B83">
          <w:rPr>
            <w:noProof/>
            <w:webHidden/>
          </w:rPr>
          <w:t>3</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5" w:history="1">
        <w:r w:rsidR="00DF4EF6" w:rsidRPr="0086257A">
          <w:rPr>
            <w:rStyle w:val="Hyperlink"/>
            <w:noProof/>
          </w:rPr>
          <w:t>2.1 Marco Legal e Quadro Institucional</w:t>
        </w:r>
        <w:r w:rsidR="00DF4EF6">
          <w:rPr>
            <w:noProof/>
            <w:webHidden/>
          </w:rPr>
          <w:tab/>
        </w:r>
        <w:r w:rsidR="00DF4EF6">
          <w:rPr>
            <w:noProof/>
            <w:webHidden/>
          </w:rPr>
          <w:fldChar w:fldCharType="begin"/>
        </w:r>
        <w:r w:rsidR="00DF4EF6">
          <w:rPr>
            <w:noProof/>
            <w:webHidden/>
          </w:rPr>
          <w:instrText xml:space="preserve"> PAGEREF _Toc442974375 \h </w:instrText>
        </w:r>
        <w:r w:rsidR="00DF4EF6">
          <w:rPr>
            <w:noProof/>
            <w:webHidden/>
          </w:rPr>
        </w:r>
        <w:r w:rsidR="00DF4EF6">
          <w:rPr>
            <w:noProof/>
            <w:webHidden/>
          </w:rPr>
          <w:fldChar w:fldCharType="separate"/>
        </w:r>
        <w:r w:rsidR="00780B83">
          <w:rPr>
            <w:noProof/>
            <w:webHidden/>
          </w:rPr>
          <w:t>8</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6" w:history="1">
        <w:r w:rsidR="00DF4EF6" w:rsidRPr="0086257A">
          <w:rPr>
            <w:rStyle w:val="Hyperlink"/>
            <w:noProof/>
          </w:rPr>
          <w:t>2.2 Política de Planejamento</w:t>
        </w:r>
        <w:r w:rsidR="00DF4EF6">
          <w:rPr>
            <w:noProof/>
            <w:webHidden/>
          </w:rPr>
          <w:tab/>
        </w:r>
        <w:r w:rsidR="00DF4EF6">
          <w:rPr>
            <w:noProof/>
            <w:webHidden/>
          </w:rPr>
          <w:fldChar w:fldCharType="begin"/>
        </w:r>
        <w:r w:rsidR="00DF4EF6">
          <w:rPr>
            <w:noProof/>
            <w:webHidden/>
          </w:rPr>
          <w:instrText xml:space="preserve"> PAGEREF _Toc442974376 \h </w:instrText>
        </w:r>
        <w:r w:rsidR="00DF4EF6">
          <w:rPr>
            <w:noProof/>
            <w:webHidden/>
          </w:rPr>
        </w:r>
        <w:r w:rsidR="00DF4EF6">
          <w:rPr>
            <w:noProof/>
            <w:webHidden/>
          </w:rPr>
          <w:fldChar w:fldCharType="separate"/>
        </w:r>
        <w:r w:rsidR="00780B83">
          <w:rPr>
            <w:noProof/>
            <w:webHidden/>
          </w:rPr>
          <w:t>11</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7" w:history="1">
        <w:r w:rsidR="00DF4EF6" w:rsidRPr="0086257A">
          <w:rPr>
            <w:rStyle w:val="Hyperlink"/>
            <w:noProof/>
          </w:rPr>
          <w:t>3. Plano Nacional de Logística de Transporte</w:t>
        </w:r>
        <w:r w:rsidR="00DF4EF6">
          <w:rPr>
            <w:noProof/>
            <w:webHidden/>
          </w:rPr>
          <w:tab/>
        </w:r>
        <w:r w:rsidR="00DF4EF6">
          <w:rPr>
            <w:noProof/>
            <w:webHidden/>
          </w:rPr>
          <w:fldChar w:fldCharType="begin"/>
        </w:r>
        <w:r w:rsidR="00DF4EF6">
          <w:rPr>
            <w:noProof/>
            <w:webHidden/>
          </w:rPr>
          <w:instrText xml:space="preserve"> PAGEREF _Toc442974377 \h </w:instrText>
        </w:r>
        <w:r w:rsidR="00DF4EF6">
          <w:rPr>
            <w:noProof/>
            <w:webHidden/>
          </w:rPr>
        </w:r>
        <w:r w:rsidR="00DF4EF6">
          <w:rPr>
            <w:noProof/>
            <w:webHidden/>
          </w:rPr>
          <w:fldChar w:fldCharType="separate"/>
        </w:r>
        <w:r w:rsidR="00780B83">
          <w:rPr>
            <w:noProof/>
            <w:webHidden/>
          </w:rPr>
          <w:t>15</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8" w:history="1">
        <w:r w:rsidR="00DF4EF6" w:rsidRPr="0086257A">
          <w:rPr>
            <w:rStyle w:val="Hyperlink"/>
            <w:noProof/>
          </w:rPr>
          <w:t>3.1 O Cenário de Transportes</w:t>
        </w:r>
        <w:r w:rsidR="00DF4EF6">
          <w:rPr>
            <w:noProof/>
            <w:webHidden/>
          </w:rPr>
          <w:tab/>
        </w:r>
        <w:r w:rsidR="00DF4EF6">
          <w:rPr>
            <w:noProof/>
            <w:webHidden/>
          </w:rPr>
          <w:fldChar w:fldCharType="begin"/>
        </w:r>
        <w:r w:rsidR="00DF4EF6">
          <w:rPr>
            <w:noProof/>
            <w:webHidden/>
          </w:rPr>
          <w:instrText xml:space="preserve"> PAGEREF _Toc442974378 \h </w:instrText>
        </w:r>
        <w:r w:rsidR="00DF4EF6">
          <w:rPr>
            <w:noProof/>
            <w:webHidden/>
          </w:rPr>
        </w:r>
        <w:r w:rsidR="00DF4EF6">
          <w:rPr>
            <w:noProof/>
            <w:webHidden/>
          </w:rPr>
          <w:fldChar w:fldCharType="separate"/>
        </w:r>
        <w:r w:rsidR="00780B83">
          <w:rPr>
            <w:noProof/>
            <w:webHidden/>
          </w:rPr>
          <w:t>20</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79" w:history="1">
        <w:r w:rsidR="00DF4EF6" w:rsidRPr="0086257A">
          <w:rPr>
            <w:rStyle w:val="Hyperlink"/>
            <w:noProof/>
          </w:rPr>
          <w:t>3.2 Qualidade da Infraestrutura de Transportes</w:t>
        </w:r>
        <w:r w:rsidR="00DF4EF6">
          <w:rPr>
            <w:noProof/>
            <w:webHidden/>
          </w:rPr>
          <w:tab/>
        </w:r>
        <w:r w:rsidR="00DF4EF6">
          <w:rPr>
            <w:noProof/>
            <w:webHidden/>
          </w:rPr>
          <w:fldChar w:fldCharType="begin"/>
        </w:r>
        <w:r w:rsidR="00DF4EF6">
          <w:rPr>
            <w:noProof/>
            <w:webHidden/>
          </w:rPr>
          <w:instrText xml:space="preserve"> PAGEREF _Toc442974379 \h </w:instrText>
        </w:r>
        <w:r w:rsidR="00DF4EF6">
          <w:rPr>
            <w:noProof/>
            <w:webHidden/>
          </w:rPr>
        </w:r>
        <w:r w:rsidR="00DF4EF6">
          <w:rPr>
            <w:noProof/>
            <w:webHidden/>
          </w:rPr>
          <w:fldChar w:fldCharType="separate"/>
        </w:r>
        <w:r w:rsidR="00780B83">
          <w:rPr>
            <w:noProof/>
            <w:webHidden/>
          </w:rPr>
          <w:t>22</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0" w:history="1">
        <w:r w:rsidR="00DF4EF6" w:rsidRPr="0086257A">
          <w:rPr>
            <w:rStyle w:val="Hyperlink"/>
            <w:noProof/>
          </w:rPr>
          <w:t>3.2.1 Qualidade Da Infraestrutura Rodoviária</w:t>
        </w:r>
        <w:r w:rsidR="00DF4EF6">
          <w:rPr>
            <w:noProof/>
            <w:webHidden/>
          </w:rPr>
          <w:tab/>
        </w:r>
        <w:r w:rsidR="00DF4EF6">
          <w:rPr>
            <w:noProof/>
            <w:webHidden/>
          </w:rPr>
          <w:fldChar w:fldCharType="begin"/>
        </w:r>
        <w:r w:rsidR="00DF4EF6">
          <w:rPr>
            <w:noProof/>
            <w:webHidden/>
          </w:rPr>
          <w:instrText xml:space="preserve"> PAGEREF _Toc442974380 \h </w:instrText>
        </w:r>
        <w:r w:rsidR="00DF4EF6">
          <w:rPr>
            <w:noProof/>
            <w:webHidden/>
          </w:rPr>
        </w:r>
        <w:r w:rsidR="00DF4EF6">
          <w:rPr>
            <w:noProof/>
            <w:webHidden/>
          </w:rPr>
          <w:fldChar w:fldCharType="separate"/>
        </w:r>
        <w:r w:rsidR="00780B83">
          <w:rPr>
            <w:noProof/>
            <w:webHidden/>
          </w:rPr>
          <w:t>22</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1" w:history="1">
        <w:r w:rsidR="00DF4EF6" w:rsidRPr="0086257A">
          <w:rPr>
            <w:rStyle w:val="Hyperlink"/>
            <w:noProof/>
          </w:rPr>
          <w:t>3.2.2 Qualidade Da Infraestrutura Ferroviária</w:t>
        </w:r>
        <w:r w:rsidR="00DF4EF6">
          <w:rPr>
            <w:noProof/>
            <w:webHidden/>
          </w:rPr>
          <w:tab/>
        </w:r>
        <w:r w:rsidR="00DF4EF6">
          <w:rPr>
            <w:noProof/>
            <w:webHidden/>
          </w:rPr>
          <w:fldChar w:fldCharType="begin"/>
        </w:r>
        <w:r w:rsidR="00DF4EF6">
          <w:rPr>
            <w:noProof/>
            <w:webHidden/>
          </w:rPr>
          <w:instrText xml:space="preserve"> PAGEREF _Toc442974381 \h </w:instrText>
        </w:r>
        <w:r w:rsidR="00DF4EF6">
          <w:rPr>
            <w:noProof/>
            <w:webHidden/>
          </w:rPr>
        </w:r>
        <w:r w:rsidR="00DF4EF6">
          <w:rPr>
            <w:noProof/>
            <w:webHidden/>
          </w:rPr>
          <w:fldChar w:fldCharType="separate"/>
        </w:r>
        <w:r w:rsidR="00780B83">
          <w:rPr>
            <w:noProof/>
            <w:webHidden/>
          </w:rPr>
          <w:t>26</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2" w:history="1">
        <w:r w:rsidR="00DF4EF6" w:rsidRPr="0086257A">
          <w:rPr>
            <w:rStyle w:val="Hyperlink"/>
            <w:noProof/>
          </w:rPr>
          <w:t>3.2.3 Qualidade Da Infraestrutura Portuária</w:t>
        </w:r>
        <w:r w:rsidR="00DF4EF6">
          <w:rPr>
            <w:noProof/>
            <w:webHidden/>
          </w:rPr>
          <w:tab/>
        </w:r>
        <w:r w:rsidR="00DF4EF6">
          <w:rPr>
            <w:noProof/>
            <w:webHidden/>
          </w:rPr>
          <w:fldChar w:fldCharType="begin"/>
        </w:r>
        <w:r w:rsidR="00DF4EF6">
          <w:rPr>
            <w:noProof/>
            <w:webHidden/>
          </w:rPr>
          <w:instrText xml:space="preserve"> PAGEREF _Toc442974382 \h </w:instrText>
        </w:r>
        <w:r w:rsidR="00DF4EF6">
          <w:rPr>
            <w:noProof/>
            <w:webHidden/>
          </w:rPr>
        </w:r>
        <w:r w:rsidR="00DF4EF6">
          <w:rPr>
            <w:noProof/>
            <w:webHidden/>
          </w:rPr>
          <w:fldChar w:fldCharType="separate"/>
        </w:r>
        <w:r w:rsidR="00780B83">
          <w:rPr>
            <w:noProof/>
            <w:webHidden/>
          </w:rPr>
          <w:t>32</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3" w:history="1">
        <w:r w:rsidR="00DF4EF6" w:rsidRPr="0086257A">
          <w:rPr>
            <w:rStyle w:val="Hyperlink"/>
            <w:noProof/>
          </w:rPr>
          <w:t>3.2.4 Qualidade Da Infraestrutura Aeroportuária</w:t>
        </w:r>
        <w:r w:rsidR="00DF4EF6">
          <w:rPr>
            <w:noProof/>
            <w:webHidden/>
          </w:rPr>
          <w:tab/>
        </w:r>
        <w:r w:rsidR="00DF4EF6">
          <w:rPr>
            <w:noProof/>
            <w:webHidden/>
          </w:rPr>
          <w:fldChar w:fldCharType="begin"/>
        </w:r>
        <w:r w:rsidR="00DF4EF6">
          <w:rPr>
            <w:noProof/>
            <w:webHidden/>
          </w:rPr>
          <w:instrText xml:space="preserve"> PAGEREF _Toc442974383 \h </w:instrText>
        </w:r>
        <w:r w:rsidR="00DF4EF6">
          <w:rPr>
            <w:noProof/>
            <w:webHidden/>
          </w:rPr>
        </w:r>
        <w:r w:rsidR="00DF4EF6">
          <w:rPr>
            <w:noProof/>
            <w:webHidden/>
          </w:rPr>
          <w:fldChar w:fldCharType="separate"/>
        </w:r>
        <w:r w:rsidR="00780B83">
          <w:rPr>
            <w:noProof/>
            <w:webHidden/>
          </w:rPr>
          <w:t>33</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4" w:history="1">
        <w:r w:rsidR="00DF4EF6" w:rsidRPr="0086257A">
          <w:rPr>
            <w:rStyle w:val="Hyperlink"/>
            <w:noProof/>
          </w:rPr>
          <w:t>3.2.5 Resumo da Qualidade Dos Modais de transporte</w:t>
        </w:r>
        <w:r w:rsidR="00DF4EF6">
          <w:rPr>
            <w:noProof/>
            <w:webHidden/>
          </w:rPr>
          <w:tab/>
        </w:r>
        <w:r w:rsidR="00DF4EF6">
          <w:rPr>
            <w:noProof/>
            <w:webHidden/>
          </w:rPr>
          <w:fldChar w:fldCharType="begin"/>
        </w:r>
        <w:r w:rsidR="00DF4EF6">
          <w:rPr>
            <w:noProof/>
            <w:webHidden/>
          </w:rPr>
          <w:instrText xml:space="preserve"> PAGEREF _Toc442974384 \h </w:instrText>
        </w:r>
        <w:r w:rsidR="00DF4EF6">
          <w:rPr>
            <w:noProof/>
            <w:webHidden/>
          </w:rPr>
        </w:r>
        <w:r w:rsidR="00DF4EF6">
          <w:rPr>
            <w:noProof/>
            <w:webHidden/>
          </w:rPr>
          <w:fldChar w:fldCharType="separate"/>
        </w:r>
        <w:r w:rsidR="00780B83">
          <w:rPr>
            <w:noProof/>
            <w:webHidden/>
          </w:rPr>
          <w:t>34</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5" w:history="1">
        <w:r w:rsidR="00DF4EF6" w:rsidRPr="0086257A">
          <w:rPr>
            <w:rStyle w:val="Hyperlink"/>
            <w:noProof/>
          </w:rPr>
          <w:t>4. Audiências Públicas</w:t>
        </w:r>
        <w:r w:rsidR="00DF4EF6">
          <w:rPr>
            <w:noProof/>
            <w:webHidden/>
          </w:rPr>
          <w:tab/>
        </w:r>
        <w:r w:rsidR="00DF4EF6">
          <w:rPr>
            <w:noProof/>
            <w:webHidden/>
          </w:rPr>
          <w:fldChar w:fldCharType="begin"/>
        </w:r>
        <w:r w:rsidR="00DF4EF6">
          <w:rPr>
            <w:noProof/>
            <w:webHidden/>
          </w:rPr>
          <w:instrText xml:space="preserve"> PAGEREF _Toc442974385 \h </w:instrText>
        </w:r>
        <w:r w:rsidR="00DF4EF6">
          <w:rPr>
            <w:noProof/>
            <w:webHidden/>
          </w:rPr>
        </w:r>
        <w:r w:rsidR="00DF4EF6">
          <w:rPr>
            <w:noProof/>
            <w:webHidden/>
          </w:rPr>
          <w:fldChar w:fldCharType="separate"/>
        </w:r>
        <w:r w:rsidR="00780B83">
          <w:rPr>
            <w:noProof/>
            <w:webHidden/>
          </w:rPr>
          <w:t>36</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6" w:history="1">
        <w:r w:rsidR="00DF4EF6" w:rsidRPr="0086257A">
          <w:rPr>
            <w:rStyle w:val="Hyperlink"/>
            <w:noProof/>
          </w:rPr>
          <w:t>5. Síntese dos Principais Problemas</w:t>
        </w:r>
        <w:r w:rsidR="00DF4EF6">
          <w:rPr>
            <w:noProof/>
            <w:webHidden/>
          </w:rPr>
          <w:tab/>
        </w:r>
        <w:r w:rsidR="00DF4EF6">
          <w:rPr>
            <w:noProof/>
            <w:webHidden/>
          </w:rPr>
          <w:fldChar w:fldCharType="begin"/>
        </w:r>
        <w:r w:rsidR="00DF4EF6">
          <w:rPr>
            <w:noProof/>
            <w:webHidden/>
          </w:rPr>
          <w:instrText xml:space="preserve"> PAGEREF _Toc442974386 \h </w:instrText>
        </w:r>
        <w:r w:rsidR="00DF4EF6">
          <w:rPr>
            <w:noProof/>
            <w:webHidden/>
          </w:rPr>
        </w:r>
        <w:r w:rsidR="00DF4EF6">
          <w:rPr>
            <w:noProof/>
            <w:webHidden/>
          </w:rPr>
          <w:fldChar w:fldCharType="separate"/>
        </w:r>
        <w:r w:rsidR="00780B83">
          <w:rPr>
            <w:noProof/>
            <w:webHidden/>
          </w:rPr>
          <w:t>37</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7" w:history="1">
        <w:r w:rsidR="00DF4EF6" w:rsidRPr="0086257A">
          <w:rPr>
            <w:rStyle w:val="Hyperlink"/>
            <w:noProof/>
          </w:rPr>
          <w:t>6. Recomendações</w:t>
        </w:r>
        <w:r w:rsidR="00DF4EF6">
          <w:rPr>
            <w:noProof/>
            <w:webHidden/>
          </w:rPr>
          <w:tab/>
        </w:r>
        <w:r w:rsidR="00DF4EF6">
          <w:rPr>
            <w:noProof/>
            <w:webHidden/>
          </w:rPr>
          <w:fldChar w:fldCharType="begin"/>
        </w:r>
        <w:r w:rsidR="00DF4EF6">
          <w:rPr>
            <w:noProof/>
            <w:webHidden/>
          </w:rPr>
          <w:instrText xml:space="preserve"> PAGEREF _Toc442974387 \h </w:instrText>
        </w:r>
        <w:r w:rsidR="00DF4EF6">
          <w:rPr>
            <w:noProof/>
            <w:webHidden/>
          </w:rPr>
        </w:r>
        <w:r w:rsidR="00DF4EF6">
          <w:rPr>
            <w:noProof/>
            <w:webHidden/>
          </w:rPr>
          <w:fldChar w:fldCharType="separate"/>
        </w:r>
        <w:r w:rsidR="00780B83">
          <w:rPr>
            <w:noProof/>
            <w:webHidden/>
          </w:rPr>
          <w:t>38</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8" w:history="1">
        <w:r w:rsidR="00DF4EF6" w:rsidRPr="0086257A">
          <w:rPr>
            <w:rStyle w:val="Hyperlink"/>
            <w:b/>
            <w:bCs/>
            <w:noProof/>
          </w:rPr>
          <w:t>Audiência pública de 16 de novembro de 2015</w:t>
        </w:r>
        <w:r w:rsidR="00DF4EF6">
          <w:rPr>
            <w:noProof/>
            <w:webHidden/>
          </w:rPr>
          <w:tab/>
        </w:r>
        <w:r w:rsidR="00DF4EF6">
          <w:rPr>
            <w:noProof/>
            <w:webHidden/>
          </w:rPr>
          <w:fldChar w:fldCharType="begin"/>
        </w:r>
        <w:r w:rsidR="00DF4EF6">
          <w:rPr>
            <w:noProof/>
            <w:webHidden/>
          </w:rPr>
          <w:instrText xml:space="preserve"> PAGEREF _Toc442974388 \h </w:instrText>
        </w:r>
        <w:r w:rsidR="00DF4EF6">
          <w:rPr>
            <w:noProof/>
            <w:webHidden/>
          </w:rPr>
        </w:r>
        <w:r w:rsidR="00DF4EF6">
          <w:rPr>
            <w:noProof/>
            <w:webHidden/>
          </w:rPr>
          <w:fldChar w:fldCharType="separate"/>
        </w:r>
        <w:r w:rsidR="00780B83">
          <w:rPr>
            <w:noProof/>
            <w:webHidden/>
          </w:rPr>
          <w:t>41</w:t>
        </w:r>
        <w:r w:rsidR="00DF4EF6">
          <w:rPr>
            <w:noProof/>
            <w:webHidden/>
          </w:rPr>
          <w:fldChar w:fldCharType="end"/>
        </w:r>
      </w:hyperlink>
    </w:p>
    <w:p w:rsidR="00DF4EF6" w:rsidRDefault="009C5393">
      <w:pPr>
        <w:pStyle w:val="Sumrio1"/>
        <w:tabs>
          <w:tab w:val="right" w:leader="dot" w:pos="8779"/>
        </w:tabs>
        <w:rPr>
          <w:rFonts w:ascii="Calibri" w:hAnsi="Calibri"/>
          <w:smallCaps w:val="0"/>
          <w:noProof/>
          <w:sz w:val="22"/>
        </w:rPr>
      </w:pPr>
      <w:hyperlink w:anchor="_Toc442974389" w:history="1">
        <w:r w:rsidR="00DF4EF6" w:rsidRPr="0086257A">
          <w:rPr>
            <w:rStyle w:val="Hyperlink"/>
            <w:b/>
            <w:bCs/>
            <w:noProof/>
          </w:rPr>
          <w:t>Audiência pública de 3 de dezembro de 2015</w:t>
        </w:r>
        <w:r w:rsidR="00DF4EF6">
          <w:rPr>
            <w:noProof/>
            <w:webHidden/>
          </w:rPr>
          <w:tab/>
        </w:r>
        <w:r w:rsidR="00DF4EF6">
          <w:rPr>
            <w:noProof/>
            <w:webHidden/>
          </w:rPr>
          <w:fldChar w:fldCharType="begin"/>
        </w:r>
        <w:r w:rsidR="00DF4EF6">
          <w:rPr>
            <w:noProof/>
            <w:webHidden/>
          </w:rPr>
          <w:instrText xml:space="preserve"> PAGEREF _Toc442974389 \h </w:instrText>
        </w:r>
        <w:r w:rsidR="00DF4EF6">
          <w:rPr>
            <w:noProof/>
            <w:webHidden/>
          </w:rPr>
        </w:r>
        <w:r w:rsidR="00DF4EF6">
          <w:rPr>
            <w:noProof/>
            <w:webHidden/>
          </w:rPr>
          <w:fldChar w:fldCharType="separate"/>
        </w:r>
        <w:r w:rsidR="00780B83">
          <w:rPr>
            <w:noProof/>
            <w:webHidden/>
          </w:rPr>
          <w:t>49</w:t>
        </w:r>
        <w:r w:rsidR="00DF4EF6">
          <w:rPr>
            <w:noProof/>
            <w:webHidden/>
          </w:rPr>
          <w:fldChar w:fldCharType="end"/>
        </w:r>
      </w:hyperlink>
    </w:p>
    <w:p w:rsidR="0036166D" w:rsidRPr="00DF4EF6" w:rsidRDefault="00A50631" w:rsidP="00E4363D">
      <w:pPr>
        <w:pStyle w:val="ndicedeilustraes"/>
        <w:tabs>
          <w:tab w:val="right" w:leader="dot" w:pos="8789"/>
        </w:tabs>
        <w:spacing w:before="480" w:after="480"/>
        <w:rPr>
          <w:b/>
          <w:sz w:val="26"/>
          <w:szCs w:val="26"/>
        </w:rPr>
      </w:pPr>
      <w:r w:rsidRPr="000476A7">
        <w:rPr>
          <w:rStyle w:val="Hyperlink"/>
          <w:noProof/>
          <w:color w:val="auto"/>
          <w:sz w:val="26"/>
          <w:szCs w:val="26"/>
        </w:rPr>
        <w:fldChar w:fldCharType="end"/>
      </w:r>
      <w:r w:rsidR="00EC7C71" w:rsidRPr="000476A7">
        <w:rPr>
          <w:sz w:val="26"/>
          <w:szCs w:val="26"/>
        </w:rPr>
        <w:br w:type="page"/>
      </w:r>
      <w:r w:rsidR="0036166D" w:rsidRPr="00DF4EF6">
        <w:rPr>
          <w:b/>
          <w:sz w:val="26"/>
          <w:szCs w:val="26"/>
        </w:rPr>
        <w:lastRenderedPageBreak/>
        <w:t xml:space="preserve">1. </w:t>
      </w:r>
      <w:r w:rsidR="006618F7" w:rsidRPr="00DF4EF6">
        <w:rPr>
          <w:b/>
          <w:sz w:val="26"/>
          <w:szCs w:val="26"/>
        </w:rPr>
        <w:t>Definição e Plano de Trabalho</w:t>
      </w:r>
    </w:p>
    <w:p w:rsidR="00E76355" w:rsidRPr="000476A7" w:rsidRDefault="0040145A" w:rsidP="00E16077">
      <w:pPr>
        <w:pStyle w:val="Ttulo0"/>
        <w:rPr>
          <w:sz w:val="26"/>
          <w:szCs w:val="26"/>
        </w:rPr>
      </w:pPr>
      <w:bookmarkStart w:id="1" w:name="_Toc442974373"/>
      <w:r w:rsidRPr="000476A7">
        <w:rPr>
          <w:sz w:val="26"/>
          <w:szCs w:val="26"/>
        </w:rPr>
        <w:t xml:space="preserve">1.1 </w:t>
      </w:r>
      <w:r w:rsidR="007952C7" w:rsidRPr="000476A7">
        <w:rPr>
          <w:sz w:val="26"/>
          <w:szCs w:val="26"/>
        </w:rPr>
        <w:t>Definição</w:t>
      </w:r>
      <w:bookmarkEnd w:id="1"/>
    </w:p>
    <w:p w:rsidR="006D7D00" w:rsidRPr="000476A7" w:rsidRDefault="006D7D00" w:rsidP="007952C7">
      <w:pPr>
        <w:autoSpaceDE w:val="0"/>
        <w:autoSpaceDN w:val="0"/>
        <w:adjustRightInd w:val="0"/>
        <w:spacing w:after="360"/>
        <w:ind w:firstLine="1418"/>
        <w:jc w:val="both"/>
        <w:rPr>
          <w:iCs/>
          <w:sz w:val="26"/>
          <w:szCs w:val="26"/>
        </w:rPr>
      </w:pPr>
      <w:r w:rsidRPr="000476A7">
        <w:rPr>
          <w:iCs/>
          <w:sz w:val="26"/>
          <w:szCs w:val="26"/>
        </w:rPr>
        <w:t>Avaliar uma política pública é investigar seus efeitos no mundo real, com o propósito de fornecer insumos para sua continuidade e eventual ampliação, para a modificação de algum aspecto de sua concepção ou execução, ou simplesmente para subsidiar a decisão por seu encerramento.</w:t>
      </w:r>
    </w:p>
    <w:p w:rsidR="00E76355" w:rsidRPr="000476A7" w:rsidRDefault="00015F87" w:rsidP="007952C7">
      <w:pPr>
        <w:autoSpaceDE w:val="0"/>
        <w:autoSpaceDN w:val="0"/>
        <w:adjustRightInd w:val="0"/>
        <w:spacing w:after="360"/>
        <w:ind w:firstLine="1418"/>
        <w:jc w:val="both"/>
        <w:rPr>
          <w:iCs/>
          <w:sz w:val="26"/>
          <w:szCs w:val="26"/>
        </w:rPr>
      </w:pPr>
      <w:r w:rsidRPr="000476A7">
        <w:rPr>
          <w:iCs/>
          <w:sz w:val="26"/>
          <w:szCs w:val="26"/>
        </w:rPr>
        <w:t>O art. 96-B do Regimento Interno do Senado Federal (RISF), introduzido pela Resolução nº 44, de 2013, estabelece que as comissões permanentes selecionarão, na área de sua competência, até o último dia útil do mês de março, políticas públicas desenvolvidas no âmbito do Poder Executivo para serem avaliadas</w:t>
      </w:r>
      <w:r w:rsidR="00BE0367" w:rsidRPr="000476A7">
        <w:rPr>
          <w:iCs/>
          <w:sz w:val="26"/>
          <w:szCs w:val="26"/>
        </w:rPr>
        <w:t>.</w:t>
      </w:r>
      <w:r w:rsidRPr="000476A7">
        <w:rPr>
          <w:iCs/>
          <w:sz w:val="26"/>
          <w:szCs w:val="26"/>
        </w:rPr>
        <w:t xml:space="preserve"> A avaliação em questão estender-se-á aos impactos das políticas selecionadas e às atividades de suporte para a sua execução.</w:t>
      </w:r>
    </w:p>
    <w:p w:rsidR="004D5121" w:rsidRDefault="00D509B6" w:rsidP="007952C7">
      <w:pPr>
        <w:autoSpaceDE w:val="0"/>
        <w:autoSpaceDN w:val="0"/>
        <w:adjustRightInd w:val="0"/>
        <w:spacing w:after="360"/>
        <w:ind w:firstLine="1418"/>
        <w:jc w:val="both"/>
        <w:rPr>
          <w:iCs/>
          <w:sz w:val="26"/>
          <w:szCs w:val="26"/>
        </w:rPr>
      </w:pPr>
      <w:r w:rsidRPr="000476A7">
        <w:rPr>
          <w:iCs/>
          <w:sz w:val="26"/>
          <w:szCs w:val="26"/>
        </w:rPr>
        <w:t>A</w:t>
      </w:r>
      <w:r w:rsidR="00FC2A3E" w:rsidRPr="000476A7">
        <w:rPr>
          <w:iCs/>
          <w:sz w:val="26"/>
          <w:szCs w:val="26"/>
        </w:rPr>
        <w:t xml:space="preserve"> Comissão de </w:t>
      </w:r>
      <w:r w:rsidR="00C71C07" w:rsidRPr="000476A7">
        <w:rPr>
          <w:iCs/>
          <w:sz w:val="26"/>
          <w:szCs w:val="26"/>
        </w:rPr>
        <w:t>Serviços de Infraestrutura</w:t>
      </w:r>
      <w:r w:rsidR="00FC2A3E" w:rsidRPr="000476A7">
        <w:rPr>
          <w:iCs/>
          <w:sz w:val="26"/>
          <w:szCs w:val="26"/>
        </w:rPr>
        <w:t xml:space="preserve"> (C</w:t>
      </w:r>
      <w:r w:rsidR="00C71C07" w:rsidRPr="000476A7">
        <w:rPr>
          <w:iCs/>
          <w:sz w:val="26"/>
          <w:szCs w:val="26"/>
        </w:rPr>
        <w:t>I</w:t>
      </w:r>
      <w:r w:rsidR="00FC2A3E" w:rsidRPr="000476A7">
        <w:rPr>
          <w:iCs/>
          <w:sz w:val="26"/>
          <w:szCs w:val="26"/>
        </w:rPr>
        <w:t xml:space="preserve">) </w:t>
      </w:r>
      <w:r w:rsidR="004D5121" w:rsidRPr="000476A7">
        <w:rPr>
          <w:iCs/>
          <w:sz w:val="26"/>
          <w:szCs w:val="26"/>
        </w:rPr>
        <w:t>aprovou, em 2</w:t>
      </w:r>
      <w:r w:rsidRPr="000476A7">
        <w:rPr>
          <w:iCs/>
          <w:sz w:val="26"/>
          <w:szCs w:val="26"/>
        </w:rPr>
        <w:t>0</w:t>
      </w:r>
      <w:r w:rsidR="004D5121" w:rsidRPr="000476A7">
        <w:rPr>
          <w:iCs/>
          <w:sz w:val="26"/>
          <w:szCs w:val="26"/>
        </w:rPr>
        <w:t xml:space="preserve"> de </w:t>
      </w:r>
      <w:r w:rsidRPr="000476A7">
        <w:rPr>
          <w:iCs/>
          <w:sz w:val="26"/>
          <w:szCs w:val="26"/>
        </w:rPr>
        <w:t>maio de 2015</w:t>
      </w:r>
      <w:r w:rsidR="004D5121" w:rsidRPr="000476A7">
        <w:rPr>
          <w:iCs/>
          <w:sz w:val="26"/>
          <w:szCs w:val="26"/>
        </w:rPr>
        <w:t xml:space="preserve">, o Requerimento nº </w:t>
      </w:r>
      <w:r w:rsidRPr="000476A7">
        <w:rPr>
          <w:iCs/>
          <w:sz w:val="26"/>
          <w:szCs w:val="26"/>
        </w:rPr>
        <w:t>32</w:t>
      </w:r>
      <w:r w:rsidR="004D5121" w:rsidRPr="000476A7">
        <w:rPr>
          <w:iCs/>
          <w:sz w:val="26"/>
          <w:szCs w:val="26"/>
        </w:rPr>
        <w:t>, de 201</w:t>
      </w:r>
      <w:r w:rsidRPr="000476A7">
        <w:rPr>
          <w:iCs/>
          <w:sz w:val="26"/>
          <w:szCs w:val="26"/>
        </w:rPr>
        <w:t>5</w:t>
      </w:r>
      <w:r w:rsidR="004D5121" w:rsidRPr="000476A7">
        <w:rPr>
          <w:iCs/>
          <w:sz w:val="26"/>
          <w:szCs w:val="26"/>
        </w:rPr>
        <w:t>, do Sen</w:t>
      </w:r>
      <w:r w:rsidR="00991136" w:rsidRPr="000476A7">
        <w:rPr>
          <w:iCs/>
          <w:sz w:val="26"/>
          <w:szCs w:val="26"/>
        </w:rPr>
        <w:t>ador</w:t>
      </w:r>
      <w:r w:rsidR="004D5121" w:rsidRPr="000476A7">
        <w:rPr>
          <w:iCs/>
          <w:sz w:val="26"/>
          <w:szCs w:val="26"/>
        </w:rPr>
        <w:t xml:space="preserve"> </w:t>
      </w:r>
      <w:r w:rsidRPr="000476A7">
        <w:rPr>
          <w:iCs/>
          <w:sz w:val="26"/>
          <w:szCs w:val="26"/>
        </w:rPr>
        <w:t>Wellington Fagundes</w:t>
      </w:r>
      <w:r w:rsidR="004D5121" w:rsidRPr="000476A7">
        <w:rPr>
          <w:iCs/>
          <w:sz w:val="26"/>
          <w:szCs w:val="26"/>
        </w:rPr>
        <w:t xml:space="preserve">, para que a política pública a ser avaliada </w:t>
      </w:r>
      <w:r w:rsidR="00D67704" w:rsidRPr="000476A7">
        <w:rPr>
          <w:iCs/>
          <w:sz w:val="26"/>
          <w:szCs w:val="26"/>
        </w:rPr>
        <w:t>no âmbito des</w:t>
      </w:r>
      <w:r w:rsidR="00916886">
        <w:rPr>
          <w:iCs/>
          <w:sz w:val="26"/>
          <w:szCs w:val="26"/>
        </w:rPr>
        <w:t>t</w:t>
      </w:r>
      <w:r w:rsidR="00D67704" w:rsidRPr="000476A7">
        <w:rPr>
          <w:iCs/>
          <w:sz w:val="26"/>
          <w:szCs w:val="26"/>
        </w:rPr>
        <w:t xml:space="preserve">a Comissão </w:t>
      </w:r>
      <w:r w:rsidR="00DB6FD8" w:rsidRPr="000476A7">
        <w:rPr>
          <w:iCs/>
          <w:sz w:val="26"/>
          <w:szCs w:val="26"/>
        </w:rPr>
        <w:t>fosse</w:t>
      </w:r>
      <w:r w:rsidR="004D5121" w:rsidRPr="000476A7">
        <w:rPr>
          <w:iCs/>
          <w:sz w:val="26"/>
          <w:szCs w:val="26"/>
        </w:rPr>
        <w:t xml:space="preserve"> </w:t>
      </w:r>
      <w:r w:rsidR="008F298D" w:rsidRPr="000476A7">
        <w:rPr>
          <w:iCs/>
          <w:sz w:val="26"/>
          <w:szCs w:val="26"/>
        </w:rPr>
        <w:t>o</w:t>
      </w:r>
      <w:r w:rsidR="004D5121" w:rsidRPr="000476A7">
        <w:rPr>
          <w:iCs/>
          <w:sz w:val="26"/>
          <w:szCs w:val="26"/>
        </w:rPr>
        <w:t xml:space="preserve"> </w:t>
      </w:r>
      <w:r w:rsidRPr="000476A7">
        <w:rPr>
          <w:iCs/>
          <w:sz w:val="26"/>
          <w:szCs w:val="26"/>
        </w:rPr>
        <w:t>Plano Nacional de Logística de Transportes</w:t>
      </w:r>
      <w:r w:rsidR="00916886">
        <w:rPr>
          <w:iCs/>
          <w:sz w:val="26"/>
          <w:szCs w:val="26"/>
        </w:rPr>
        <w:t xml:space="preserve"> (PNLT)</w:t>
      </w:r>
      <w:r w:rsidRPr="000476A7">
        <w:rPr>
          <w:iCs/>
          <w:sz w:val="26"/>
          <w:szCs w:val="26"/>
        </w:rPr>
        <w:t>, com ênfase na integração entre modais e na mobilidade urbana</w:t>
      </w:r>
      <w:r w:rsidR="00606640" w:rsidRPr="000476A7">
        <w:rPr>
          <w:iCs/>
          <w:sz w:val="26"/>
          <w:szCs w:val="26"/>
        </w:rPr>
        <w:t>.</w:t>
      </w:r>
      <w:r w:rsidR="00991136" w:rsidRPr="000476A7">
        <w:rPr>
          <w:iCs/>
          <w:sz w:val="26"/>
          <w:szCs w:val="26"/>
        </w:rPr>
        <w:t xml:space="preserve"> Ao </w:t>
      </w:r>
      <w:r w:rsidR="00D67704" w:rsidRPr="000476A7">
        <w:rPr>
          <w:iCs/>
          <w:sz w:val="26"/>
          <w:szCs w:val="26"/>
        </w:rPr>
        <w:t>autor do requerimento</w:t>
      </w:r>
      <w:r w:rsidR="00991136" w:rsidRPr="000476A7">
        <w:rPr>
          <w:iCs/>
          <w:sz w:val="26"/>
          <w:szCs w:val="26"/>
        </w:rPr>
        <w:t xml:space="preserve"> coube a relatoria da matéria.</w:t>
      </w:r>
    </w:p>
    <w:p w:rsidR="00003461" w:rsidRDefault="00003461" w:rsidP="007952C7">
      <w:pPr>
        <w:autoSpaceDE w:val="0"/>
        <w:autoSpaceDN w:val="0"/>
        <w:adjustRightInd w:val="0"/>
        <w:spacing w:after="360"/>
        <w:ind w:firstLine="1418"/>
        <w:jc w:val="both"/>
        <w:rPr>
          <w:iCs/>
          <w:sz w:val="26"/>
          <w:szCs w:val="26"/>
        </w:rPr>
      </w:pPr>
      <w:r>
        <w:rPr>
          <w:iCs/>
          <w:sz w:val="26"/>
          <w:szCs w:val="26"/>
        </w:rPr>
        <w:t xml:space="preserve">Durante a 45ª </w:t>
      </w:r>
      <w:r w:rsidRPr="00003461">
        <w:rPr>
          <w:iCs/>
          <w:sz w:val="26"/>
          <w:szCs w:val="26"/>
        </w:rPr>
        <w:t>reunião da Comissão de Serviços de Infraestrutura, realizada no dia 16 de dezembro de 2015</w:t>
      </w:r>
      <w:r>
        <w:rPr>
          <w:iCs/>
          <w:sz w:val="26"/>
          <w:szCs w:val="26"/>
        </w:rPr>
        <w:t>, o</w:t>
      </w:r>
      <w:r w:rsidRPr="00003461">
        <w:rPr>
          <w:iCs/>
          <w:sz w:val="26"/>
          <w:szCs w:val="26"/>
        </w:rPr>
        <w:t xml:space="preserve"> Senador Wellington Fagunde</w:t>
      </w:r>
      <w:r>
        <w:rPr>
          <w:iCs/>
          <w:sz w:val="26"/>
          <w:szCs w:val="26"/>
        </w:rPr>
        <w:t>s</w:t>
      </w:r>
      <w:r w:rsidRPr="00003461">
        <w:rPr>
          <w:iCs/>
          <w:sz w:val="26"/>
          <w:szCs w:val="26"/>
        </w:rPr>
        <w:t xml:space="preserve"> apresentou relatório preliminar da avaliação da política pública</w:t>
      </w:r>
      <w:r>
        <w:rPr>
          <w:iCs/>
          <w:sz w:val="26"/>
          <w:szCs w:val="26"/>
        </w:rPr>
        <w:t xml:space="preserve"> do</w:t>
      </w:r>
      <w:r w:rsidRPr="00003461">
        <w:rPr>
          <w:iCs/>
          <w:sz w:val="26"/>
          <w:szCs w:val="26"/>
        </w:rPr>
        <w:t xml:space="preserve"> Plano Nacional de Logística de Transportes</w:t>
      </w:r>
      <w:r>
        <w:rPr>
          <w:iCs/>
          <w:sz w:val="26"/>
          <w:szCs w:val="26"/>
        </w:rPr>
        <w:t xml:space="preserve"> e foi deliberado pelo Presidente da CI, Senador Garibaldi Alves, que o Relatório Final seria apresentado na abertura da sessão legislativa seguinte.</w:t>
      </w:r>
    </w:p>
    <w:p w:rsidR="00E76355" w:rsidRPr="000476A7" w:rsidRDefault="000406D9" w:rsidP="00E16077">
      <w:pPr>
        <w:pStyle w:val="Ttulo0"/>
        <w:rPr>
          <w:sz w:val="26"/>
          <w:szCs w:val="26"/>
        </w:rPr>
      </w:pPr>
      <w:bookmarkStart w:id="2" w:name="_Toc442974374"/>
      <w:r w:rsidRPr="000476A7">
        <w:rPr>
          <w:sz w:val="26"/>
          <w:szCs w:val="26"/>
        </w:rPr>
        <w:t xml:space="preserve">1.2 </w:t>
      </w:r>
      <w:r w:rsidR="00FB6690" w:rsidRPr="000476A7">
        <w:rPr>
          <w:sz w:val="26"/>
          <w:szCs w:val="26"/>
        </w:rPr>
        <w:t>Plano de Trabalho</w:t>
      </w:r>
      <w:bookmarkEnd w:id="2"/>
    </w:p>
    <w:p w:rsidR="00606640" w:rsidRPr="000476A7" w:rsidRDefault="00606640" w:rsidP="00606640">
      <w:pPr>
        <w:autoSpaceDE w:val="0"/>
        <w:autoSpaceDN w:val="0"/>
        <w:adjustRightInd w:val="0"/>
        <w:spacing w:after="360"/>
        <w:ind w:firstLine="1418"/>
        <w:jc w:val="both"/>
        <w:rPr>
          <w:iCs/>
          <w:sz w:val="26"/>
          <w:szCs w:val="26"/>
        </w:rPr>
      </w:pPr>
      <w:r w:rsidRPr="000476A7">
        <w:rPr>
          <w:iCs/>
          <w:sz w:val="26"/>
          <w:szCs w:val="26"/>
        </w:rPr>
        <w:t>O objetivo do Plano de Trabalho é ter um quadro do que já foi realizado em consequência da política pública do Executivo</w:t>
      </w:r>
      <w:r w:rsidR="00D67704" w:rsidRPr="000476A7">
        <w:rPr>
          <w:iCs/>
          <w:sz w:val="26"/>
          <w:szCs w:val="26"/>
        </w:rPr>
        <w:t xml:space="preserve"> e</w:t>
      </w:r>
      <w:r w:rsidRPr="000476A7">
        <w:rPr>
          <w:iCs/>
          <w:sz w:val="26"/>
          <w:szCs w:val="26"/>
        </w:rPr>
        <w:t xml:space="preserve"> das dificuldades enfrentadas na implantação dos projetos</w:t>
      </w:r>
      <w:r w:rsidR="0067153A" w:rsidRPr="000476A7">
        <w:rPr>
          <w:iCs/>
          <w:sz w:val="26"/>
          <w:szCs w:val="26"/>
        </w:rPr>
        <w:t>,</w:t>
      </w:r>
      <w:r w:rsidRPr="000476A7">
        <w:rPr>
          <w:iCs/>
          <w:sz w:val="26"/>
          <w:szCs w:val="26"/>
        </w:rPr>
        <w:t xml:space="preserve"> de modo a poder ter clareza acerca da expectativa para o investimento previsto no setor de transportes para os próximos anos.</w:t>
      </w:r>
    </w:p>
    <w:p w:rsidR="00606640" w:rsidRPr="000476A7" w:rsidRDefault="0067153A" w:rsidP="00606640">
      <w:pPr>
        <w:autoSpaceDE w:val="0"/>
        <w:autoSpaceDN w:val="0"/>
        <w:adjustRightInd w:val="0"/>
        <w:spacing w:after="360"/>
        <w:ind w:firstLine="1418"/>
        <w:jc w:val="both"/>
        <w:rPr>
          <w:iCs/>
          <w:sz w:val="26"/>
          <w:szCs w:val="26"/>
        </w:rPr>
      </w:pPr>
      <w:r w:rsidRPr="000476A7">
        <w:rPr>
          <w:iCs/>
          <w:sz w:val="26"/>
          <w:szCs w:val="26"/>
        </w:rPr>
        <w:t xml:space="preserve">Como resultado deste trabalho, </w:t>
      </w:r>
      <w:r w:rsidR="003D6FCD" w:rsidRPr="000476A7">
        <w:rPr>
          <w:iCs/>
          <w:sz w:val="26"/>
          <w:szCs w:val="26"/>
        </w:rPr>
        <w:t>realizad</w:t>
      </w:r>
      <w:r w:rsidRPr="000476A7">
        <w:rPr>
          <w:iCs/>
          <w:sz w:val="26"/>
          <w:szCs w:val="26"/>
        </w:rPr>
        <w:t>o</w:t>
      </w:r>
      <w:r w:rsidR="003D6FCD" w:rsidRPr="000476A7">
        <w:rPr>
          <w:iCs/>
          <w:sz w:val="26"/>
          <w:szCs w:val="26"/>
        </w:rPr>
        <w:t xml:space="preserve"> com o apoio da Consultoria Legislativa do Senado Federal (Conleg),</w:t>
      </w:r>
      <w:r w:rsidR="00606640" w:rsidRPr="000476A7">
        <w:rPr>
          <w:iCs/>
          <w:sz w:val="26"/>
          <w:szCs w:val="26"/>
        </w:rPr>
        <w:t xml:space="preserve"> </w:t>
      </w:r>
      <w:r w:rsidRPr="000476A7">
        <w:rPr>
          <w:iCs/>
          <w:sz w:val="26"/>
          <w:szCs w:val="26"/>
        </w:rPr>
        <w:t xml:space="preserve">espera-se </w:t>
      </w:r>
      <w:r w:rsidR="00606640" w:rsidRPr="000476A7">
        <w:rPr>
          <w:iCs/>
          <w:sz w:val="26"/>
          <w:szCs w:val="26"/>
        </w:rPr>
        <w:t>reforçar o exercício da função fiscalizatória</w:t>
      </w:r>
      <w:r w:rsidR="00991136" w:rsidRPr="000476A7">
        <w:rPr>
          <w:iCs/>
          <w:sz w:val="26"/>
          <w:szCs w:val="26"/>
        </w:rPr>
        <w:t xml:space="preserve"> do Poder Legislativo, </w:t>
      </w:r>
      <w:r w:rsidR="00606640" w:rsidRPr="000476A7">
        <w:rPr>
          <w:iCs/>
          <w:sz w:val="26"/>
          <w:szCs w:val="26"/>
        </w:rPr>
        <w:t xml:space="preserve">estabelecendo uma estratégia proativa de atuação que permita </w:t>
      </w:r>
      <w:r w:rsidR="00285343" w:rsidRPr="000476A7">
        <w:rPr>
          <w:iCs/>
          <w:sz w:val="26"/>
          <w:szCs w:val="26"/>
        </w:rPr>
        <w:t xml:space="preserve">analisar </w:t>
      </w:r>
      <w:r w:rsidR="00606640" w:rsidRPr="000476A7">
        <w:rPr>
          <w:iCs/>
          <w:sz w:val="26"/>
          <w:szCs w:val="26"/>
        </w:rPr>
        <w:t>e avalia</w:t>
      </w:r>
      <w:r w:rsidRPr="000476A7">
        <w:rPr>
          <w:iCs/>
          <w:sz w:val="26"/>
          <w:szCs w:val="26"/>
        </w:rPr>
        <w:t>r</w:t>
      </w:r>
      <w:r w:rsidR="00285343" w:rsidRPr="000476A7">
        <w:rPr>
          <w:iCs/>
          <w:sz w:val="26"/>
          <w:szCs w:val="26"/>
        </w:rPr>
        <w:t xml:space="preserve"> </w:t>
      </w:r>
      <w:r w:rsidR="00606640" w:rsidRPr="000476A7">
        <w:rPr>
          <w:iCs/>
          <w:sz w:val="26"/>
          <w:szCs w:val="26"/>
        </w:rPr>
        <w:t>a política de infraestrutura de transportes, de modo a oferecer à sociedade uma visão qualificada da situação atual e das dificuldades do setor de transportes, aumentando a transparência e viabilizando o controle do cidadão sobre as ações governamentais.</w:t>
      </w:r>
    </w:p>
    <w:p w:rsidR="00606640" w:rsidRPr="000476A7" w:rsidRDefault="00606640" w:rsidP="00606640">
      <w:pPr>
        <w:autoSpaceDE w:val="0"/>
        <w:autoSpaceDN w:val="0"/>
        <w:adjustRightInd w:val="0"/>
        <w:spacing w:after="360"/>
        <w:ind w:firstLine="1418"/>
        <w:jc w:val="both"/>
        <w:rPr>
          <w:iCs/>
          <w:sz w:val="26"/>
          <w:szCs w:val="26"/>
        </w:rPr>
      </w:pPr>
      <w:r w:rsidRPr="000476A7">
        <w:rPr>
          <w:iCs/>
          <w:sz w:val="26"/>
          <w:szCs w:val="26"/>
        </w:rPr>
        <w:t xml:space="preserve">Como consequência da avaliação, o </w:t>
      </w:r>
      <w:r w:rsidR="00003461" w:rsidRPr="000476A7">
        <w:rPr>
          <w:iCs/>
          <w:sz w:val="26"/>
          <w:szCs w:val="26"/>
        </w:rPr>
        <w:t xml:space="preserve">Relatório </w:t>
      </w:r>
      <w:r w:rsidR="00003461">
        <w:rPr>
          <w:iCs/>
          <w:sz w:val="26"/>
          <w:szCs w:val="26"/>
        </w:rPr>
        <w:t>Final</w:t>
      </w:r>
      <w:r w:rsidRPr="000476A7">
        <w:rPr>
          <w:iCs/>
          <w:sz w:val="26"/>
          <w:szCs w:val="26"/>
        </w:rPr>
        <w:t xml:space="preserve"> apresenta recomendações e sugestões aos órgãos executores das ações avaliadas, bem como sugestões de aprimoramento da legislação específica capazes de </w:t>
      </w:r>
      <w:r w:rsidR="00DB6FD8" w:rsidRPr="000476A7">
        <w:rPr>
          <w:iCs/>
          <w:sz w:val="26"/>
          <w:szCs w:val="26"/>
        </w:rPr>
        <w:t>catalisar</w:t>
      </w:r>
      <w:r w:rsidRPr="000476A7">
        <w:rPr>
          <w:iCs/>
          <w:sz w:val="26"/>
          <w:szCs w:val="26"/>
        </w:rPr>
        <w:t xml:space="preserve"> a solução dos problemas que impedem a disponibilização de uma infraestrutura</w:t>
      </w:r>
      <w:r w:rsidR="0067153A" w:rsidRPr="000476A7">
        <w:rPr>
          <w:iCs/>
          <w:sz w:val="26"/>
          <w:szCs w:val="26"/>
        </w:rPr>
        <w:t xml:space="preserve"> de transportes</w:t>
      </w:r>
      <w:r w:rsidRPr="000476A7">
        <w:rPr>
          <w:iCs/>
          <w:sz w:val="26"/>
          <w:szCs w:val="26"/>
        </w:rPr>
        <w:t xml:space="preserve"> capaz de favorecer o desenvolvimento logístico e a competitividade nacional.</w:t>
      </w:r>
    </w:p>
    <w:p w:rsidR="00606640" w:rsidRPr="000476A7" w:rsidRDefault="00606640" w:rsidP="00606640">
      <w:pPr>
        <w:autoSpaceDE w:val="0"/>
        <w:autoSpaceDN w:val="0"/>
        <w:adjustRightInd w:val="0"/>
        <w:spacing w:after="360"/>
        <w:ind w:firstLine="1418"/>
        <w:jc w:val="both"/>
        <w:rPr>
          <w:iCs/>
          <w:sz w:val="26"/>
          <w:szCs w:val="26"/>
        </w:rPr>
      </w:pPr>
      <w:r w:rsidRPr="000476A7">
        <w:rPr>
          <w:iCs/>
          <w:sz w:val="26"/>
          <w:szCs w:val="26"/>
        </w:rPr>
        <w:t xml:space="preserve">A avaliação </w:t>
      </w:r>
      <w:r w:rsidR="00285343" w:rsidRPr="000476A7">
        <w:rPr>
          <w:iCs/>
          <w:sz w:val="26"/>
          <w:szCs w:val="26"/>
        </w:rPr>
        <w:t>é</w:t>
      </w:r>
      <w:r w:rsidRPr="000476A7">
        <w:rPr>
          <w:iCs/>
          <w:sz w:val="26"/>
          <w:szCs w:val="26"/>
        </w:rPr>
        <w:t xml:space="preserve"> realizada pela consolidação e análise de informações coletadas dos agentes setoriais públicos que executam atividades de governo ou de regulação relativas à construção e </w:t>
      </w:r>
      <w:r w:rsidR="0067153A" w:rsidRPr="000476A7">
        <w:rPr>
          <w:iCs/>
          <w:sz w:val="26"/>
          <w:szCs w:val="26"/>
        </w:rPr>
        <w:t xml:space="preserve">à </w:t>
      </w:r>
      <w:r w:rsidRPr="000476A7">
        <w:rPr>
          <w:iCs/>
          <w:sz w:val="26"/>
          <w:szCs w:val="26"/>
        </w:rPr>
        <w:t>operação da infraestrutura rodoviária, ferroviária, portuária, hidroviária e aeroportuária, quais sejam: Ministério dos Transportes, Secretaria de Portos (SEP), Secretaria de Aviação Civil (SAC/PR), Empresa de Planejamento e Logística S. A. (EPL), Agência Nacional de Transportes Terrestres (ANTT), Agência Nacional de Transportes Aquaviários (Antaq), Agência Nacional de Aviação Civil (ANAC)</w:t>
      </w:r>
      <w:r w:rsidR="0067153A" w:rsidRPr="000476A7">
        <w:rPr>
          <w:iCs/>
          <w:sz w:val="26"/>
          <w:szCs w:val="26"/>
        </w:rPr>
        <w:t>. T</w:t>
      </w:r>
      <w:r w:rsidRPr="000476A7">
        <w:rPr>
          <w:iCs/>
          <w:sz w:val="26"/>
          <w:szCs w:val="26"/>
        </w:rPr>
        <w:t xml:space="preserve">ambém </w:t>
      </w:r>
      <w:r w:rsidR="00285343" w:rsidRPr="000476A7">
        <w:rPr>
          <w:iCs/>
          <w:sz w:val="26"/>
          <w:szCs w:val="26"/>
        </w:rPr>
        <w:t>são</w:t>
      </w:r>
      <w:r w:rsidRPr="000476A7">
        <w:rPr>
          <w:iCs/>
          <w:sz w:val="26"/>
          <w:szCs w:val="26"/>
        </w:rPr>
        <w:t xml:space="preserve"> utilizadas informações de alguns agentes privados ou internacionais, como a Confederação Nacional dos Transportes (CNT), a Confederação Nacional da Agricultura (CNA), a Confederação Nacional da Indústria (CNI),</w:t>
      </w:r>
      <w:r w:rsidR="00991136" w:rsidRPr="000476A7">
        <w:rPr>
          <w:iCs/>
          <w:sz w:val="26"/>
          <w:szCs w:val="26"/>
        </w:rPr>
        <w:t xml:space="preserve"> o</w:t>
      </w:r>
      <w:r w:rsidRPr="000476A7">
        <w:rPr>
          <w:iCs/>
          <w:sz w:val="26"/>
          <w:szCs w:val="26"/>
        </w:rPr>
        <w:t xml:space="preserve"> Fórum Econômico Mundial, etc.</w:t>
      </w:r>
    </w:p>
    <w:p w:rsidR="003D6FCD" w:rsidRPr="000476A7" w:rsidRDefault="00606640" w:rsidP="003D6FCD">
      <w:pPr>
        <w:autoSpaceDE w:val="0"/>
        <w:autoSpaceDN w:val="0"/>
        <w:adjustRightInd w:val="0"/>
        <w:spacing w:after="360"/>
        <w:ind w:firstLine="1418"/>
        <w:jc w:val="both"/>
        <w:rPr>
          <w:iCs/>
          <w:sz w:val="26"/>
          <w:szCs w:val="26"/>
        </w:rPr>
      </w:pPr>
      <w:r w:rsidRPr="000476A7">
        <w:rPr>
          <w:iCs/>
          <w:sz w:val="26"/>
          <w:szCs w:val="26"/>
        </w:rPr>
        <w:t xml:space="preserve">Ademais, </w:t>
      </w:r>
      <w:r w:rsidR="003D6FCD" w:rsidRPr="000476A7">
        <w:rPr>
          <w:iCs/>
          <w:sz w:val="26"/>
          <w:szCs w:val="26"/>
        </w:rPr>
        <w:t xml:space="preserve">foram promovidas audiências públicas com o fim específico de se analisar o cenário atual da infraestrutura de transportes, em especial, para discutir: as razões pelas quais as obras públicas atrasam e, muitas vezes, são abandonadas; o cronograma das obras atuais, e </w:t>
      </w:r>
      <w:r w:rsidR="009B3E36" w:rsidRPr="000476A7">
        <w:rPr>
          <w:iCs/>
          <w:sz w:val="26"/>
          <w:szCs w:val="26"/>
        </w:rPr>
        <w:t>possíveis</w:t>
      </w:r>
      <w:r w:rsidR="003D6FCD" w:rsidRPr="000476A7">
        <w:rPr>
          <w:iCs/>
          <w:sz w:val="26"/>
          <w:szCs w:val="26"/>
        </w:rPr>
        <w:t xml:space="preserve"> soluç</w:t>
      </w:r>
      <w:r w:rsidR="009B3E36" w:rsidRPr="000476A7">
        <w:rPr>
          <w:iCs/>
          <w:sz w:val="26"/>
          <w:szCs w:val="26"/>
        </w:rPr>
        <w:t>ões</w:t>
      </w:r>
      <w:r w:rsidR="003D6FCD" w:rsidRPr="000476A7">
        <w:rPr>
          <w:iCs/>
          <w:sz w:val="26"/>
          <w:szCs w:val="26"/>
        </w:rPr>
        <w:t xml:space="preserve"> para evitar os atrasos; a interface entre os diversos órgãos setoriais, como </w:t>
      </w:r>
      <w:r w:rsidR="00916886">
        <w:rPr>
          <w:iCs/>
          <w:sz w:val="26"/>
          <w:szCs w:val="26"/>
        </w:rPr>
        <w:t>M</w:t>
      </w:r>
      <w:r w:rsidR="003D6FCD" w:rsidRPr="000476A7">
        <w:rPr>
          <w:iCs/>
          <w:sz w:val="26"/>
          <w:szCs w:val="26"/>
        </w:rPr>
        <w:t xml:space="preserve">inistérios, </w:t>
      </w:r>
      <w:r w:rsidR="00916886">
        <w:rPr>
          <w:iCs/>
          <w:sz w:val="26"/>
          <w:szCs w:val="26"/>
        </w:rPr>
        <w:t>Secretarias, A</w:t>
      </w:r>
      <w:r w:rsidR="003D6FCD" w:rsidRPr="000476A7">
        <w:rPr>
          <w:iCs/>
          <w:sz w:val="26"/>
          <w:szCs w:val="26"/>
        </w:rPr>
        <w:t xml:space="preserve">utarquias e </w:t>
      </w:r>
      <w:r w:rsidR="00916886">
        <w:rPr>
          <w:iCs/>
          <w:sz w:val="26"/>
          <w:szCs w:val="26"/>
        </w:rPr>
        <w:t>A</w:t>
      </w:r>
      <w:r w:rsidR="003D6FCD" w:rsidRPr="000476A7">
        <w:rPr>
          <w:iCs/>
          <w:sz w:val="26"/>
          <w:szCs w:val="26"/>
        </w:rPr>
        <w:t xml:space="preserve">gências, entre si, e entre estes e órgãos externos que impactam a realização das obras de infraestrutura, como TCU, Ministério </w:t>
      </w:r>
      <w:r w:rsidR="0067153A" w:rsidRPr="000476A7">
        <w:rPr>
          <w:iCs/>
          <w:sz w:val="26"/>
          <w:szCs w:val="26"/>
        </w:rPr>
        <w:t>P</w:t>
      </w:r>
      <w:r w:rsidR="003D6FCD" w:rsidRPr="000476A7">
        <w:rPr>
          <w:iCs/>
          <w:sz w:val="26"/>
          <w:szCs w:val="26"/>
        </w:rPr>
        <w:t xml:space="preserve">úblico e autarquias </w:t>
      </w:r>
      <w:r w:rsidR="00DB6FD8" w:rsidRPr="000476A7">
        <w:rPr>
          <w:iCs/>
          <w:sz w:val="26"/>
          <w:szCs w:val="26"/>
        </w:rPr>
        <w:t>ambientais.</w:t>
      </w:r>
    </w:p>
    <w:p w:rsidR="00991136" w:rsidRPr="000476A7" w:rsidRDefault="00991136" w:rsidP="003D6FCD">
      <w:pPr>
        <w:autoSpaceDE w:val="0"/>
        <w:autoSpaceDN w:val="0"/>
        <w:adjustRightInd w:val="0"/>
        <w:spacing w:after="360"/>
        <w:ind w:firstLine="1418"/>
        <w:jc w:val="both"/>
        <w:rPr>
          <w:iCs/>
          <w:sz w:val="26"/>
          <w:szCs w:val="26"/>
        </w:rPr>
      </w:pPr>
      <w:r w:rsidRPr="000476A7">
        <w:rPr>
          <w:iCs/>
          <w:sz w:val="26"/>
          <w:szCs w:val="26"/>
        </w:rPr>
        <w:t xml:space="preserve">O Plano de Trabalho aprovado </w:t>
      </w:r>
      <w:r w:rsidR="009948AA" w:rsidRPr="000476A7">
        <w:rPr>
          <w:iCs/>
          <w:sz w:val="26"/>
          <w:szCs w:val="26"/>
        </w:rPr>
        <w:t>pela CI havia previsto uma sequê</w:t>
      </w:r>
      <w:r w:rsidRPr="000476A7">
        <w:rPr>
          <w:iCs/>
          <w:sz w:val="26"/>
          <w:szCs w:val="26"/>
        </w:rPr>
        <w:t xml:space="preserve">ncia de atividades, todavia, em razão de contingências do processo legislativo não </w:t>
      </w:r>
      <w:r w:rsidR="0067153A" w:rsidRPr="000476A7">
        <w:rPr>
          <w:iCs/>
          <w:sz w:val="26"/>
          <w:szCs w:val="26"/>
        </w:rPr>
        <w:t xml:space="preserve">puderam </w:t>
      </w:r>
      <w:r w:rsidRPr="000476A7">
        <w:rPr>
          <w:iCs/>
          <w:sz w:val="26"/>
          <w:szCs w:val="26"/>
        </w:rPr>
        <w:t>ocorr</w:t>
      </w:r>
      <w:r w:rsidR="008B4EA0" w:rsidRPr="000476A7">
        <w:rPr>
          <w:iCs/>
          <w:sz w:val="26"/>
          <w:szCs w:val="26"/>
        </w:rPr>
        <w:t>er segundo o plano original</w:t>
      </w:r>
      <w:r w:rsidRPr="000476A7">
        <w:rPr>
          <w:iCs/>
          <w:sz w:val="26"/>
          <w:szCs w:val="26"/>
        </w:rPr>
        <w:t>. A tabela</w:t>
      </w:r>
      <w:r w:rsidR="00190106" w:rsidRPr="000476A7">
        <w:rPr>
          <w:iCs/>
          <w:sz w:val="26"/>
          <w:szCs w:val="26"/>
        </w:rPr>
        <w:t>, a seguir,</w:t>
      </w:r>
      <w:r w:rsidRPr="000476A7">
        <w:rPr>
          <w:iCs/>
          <w:sz w:val="26"/>
          <w:szCs w:val="26"/>
        </w:rPr>
        <w:t xml:space="preserve"> apresenta uma síntese dessas atividades:</w:t>
      </w:r>
    </w:p>
    <w:p w:rsidR="00995CC1" w:rsidRPr="000476A7" w:rsidRDefault="00995CC1" w:rsidP="003D6FCD">
      <w:pPr>
        <w:autoSpaceDE w:val="0"/>
        <w:autoSpaceDN w:val="0"/>
        <w:adjustRightInd w:val="0"/>
        <w:spacing w:after="360"/>
        <w:ind w:firstLine="1418"/>
        <w:jc w:val="both"/>
        <w:rPr>
          <w:iCs/>
          <w:sz w:val="26"/>
          <w:szCs w:val="26"/>
        </w:rPr>
        <w:sectPr w:rsidR="00995CC1" w:rsidRPr="000476A7">
          <w:headerReference w:type="even" r:id="rId8"/>
          <w:headerReference w:type="default" r:id="rId9"/>
          <w:footerReference w:type="default" r:id="rId10"/>
          <w:pgSz w:w="11907" w:h="16840" w:code="9"/>
          <w:pgMar w:top="1984" w:right="1417" w:bottom="1417" w:left="1701" w:header="709" w:footer="709" w:gutter="0"/>
          <w:cols w:space="720"/>
          <w:titlePg/>
          <w:docGrid w:linePitch="326"/>
        </w:sectPr>
      </w:pPr>
    </w:p>
    <w:p w:rsidR="0020787C" w:rsidRPr="000476A7" w:rsidRDefault="0020787C" w:rsidP="0020787C">
      <w:pPr>
        <w:pStyle w:val="Legenda"/>
        <w:keepNext/>
        <w:spacing w:after="240"/>
        <w:rPr>
          <w:sz w:val="26"/>
          <w:szCs w:val="26"/>
        </w:rPr>
      </w:pPr>
      <w:r w:rsidRPr="000476A7">
        <w:rPr>
          <w:sz w:val="26"/>
          <w:szCs w:val="26"/>
        </w:rPr>
        <w:t xml:space="preserve">Tabela </w:t>
      </w:r>
      <w:r w:rsidRPr="000476A7">
        <w:rPr>
          <w:sz w:val="26"/>
          <w:szCs w:val="26"/>
        </w:rPr>
        <w:fldChar w:fldCharType="begin"/>
      </w:r>
      <w:r w:rsidRPr="000476A7">
        <w:rPr>
          <w:sz w:val="26"/>
          <w:szCs w:val="26"/>
        </w:rPr>
        <w:instrText xml:space="preserve"> SEQ Tabela \* ARABIC </w:instrText>
      </w:r>
      <w:r w:rsidRPr="000476A7">
        <w:rPr>
          <w:sz w:val="26"/>
          <w:szCs w:val="26"/>
        </w:rPr>
        <w:fldChar w:fldCharType="separate"/>
      </w:r>
      <w:r w:rsidR="00780B83">
        <w:rPr>
          <w:noProof/>
          <w:sz w:val="26"/>
          <w:szCs w:val="26"/>
        </w:rPr>
        <w:t>1</w:t>
      </w:r>
      <w:r w:rsidRPr="000476A7">
        <w:rPr>
          <w:sz w:val="26"/>
          <w:szCs w:val="26"/>
        </w:rPr>
        <w:fldChar w:fldCharType="end"/>
      </w:r>
      <w:r w:rsidRPr="000476A7">
        <w:rPr>
          <w:sz w:val="26"/>
          <w:szCs w:val="26"/>
        </w:rPr>
        <w:t xml:space="preserve"> – Cronograma de Execução do Plano de Trabalho de Avaliação da Política Pública do PNLT</w:t>
      </w: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4606"/>
        <w:gridCol w:w="4607"/>
        <w:gridCol w:w="1560"/>
      </w:tblGrid>
      <w:tr w:rsidR="00BB7C5D" w:rsidRPr="000476A7" w:rsidTr="00DD4147">
        <w:trPr>
          <w:cantSplit/>
          <w:tblHeader/>
        </w:trPr>
        <w:tc>
          <w:tcPr>
            <w:tcW w:w="1277" w:type="dxa"/>
          </w:tcPr>
          <w:p w:rsidR="00995CC1" w:rsidRPr="000476A7" w:rsidRDefault="00995CC1" w:rsidP="004C52AA">
            <w:pPr>
              <w:autoSpaceDE w:val="0"/>
              <w:autoSpaceDN w:val="0"/>
              <w:adjustRightInd w:val="0"/>
              <w:spacing w:line="276" w:lineRule="auto"/>
              <w:jc w:val="center"/>
              <w:rPr>
                <w:b/>
                <w:iCs/>
                <w:sz w:val="26"/>
                <w:szCs w:val="26"/>
              </w:rPr>
            </w:pPr>
            <w:r w:rsidRPr="000476A7">
              <w:rPr>
                <w:b/>
                <w:iCs/>
                <w:sz w:val="26"/>
                <w:szCs w:val="26"/>
              </w:rPr>
              <w:t>Data proposta</w:t>
            </w:r>
          </w:p>
        </w:tc>
        <w:tc>
          <w:tcPr>
            <w:tcW w:w="1701" w:type="dxa"/>
          </w:tcPr>
          <w:p w:rsidR="00995CC1" w:rsidRPr="000476A7" w:rsidRDefault="00995CC1" w:rsidP="004C52AA">
            <w:pPr>
              <w:autoSpaceDE w:val="0"/>
              <w:autoSpaceDN w:val="0"/>
              <w:adjustRightInd w:val="0"/>
              <w:spacing w:line="276" w:lineRule="auto"/>
              <w:jc w:val="center"/>
              <w:rPr>
                <w:b/>
                <w:iCs/>
                <w:sz w:val="26"/>
                <w:szCs w:val="26"/>
              </w:rPr>
            </w:pPr>
            <w:r w:rsidRPr="000476A7">
              <w:rPr>
                <w:b/>
                <w:iCs/>
                <w:sz w:val="26"/>
                <w:szCs w:val="26"/>
              </w:rPr>
              <w:t>Atividade</w:t>
            </w:r>
          </w:p>
        </w:tc>
        <w:tc>
          <w:tcPr>
            <w:tcW w:w="4606" w:type="dxa"/>
          </w:tcPr>
          <w:p w:rsidR="00995CC1" w:rsidRPr="000476A7" w:rsidRDefault="00995CC1" w:rsidP="004C52AA">
            <w:pPr>
              <w:autoSpaceDE w:val="0"/>
              <w:autoSpaceDN w:val="0"/>
              <w:adjustRightInd w:val="0"/>
              <w:spacing w:line="276" w:lineRule="auto"/>
              <w:jc w:val="center"/>
              <w:rPr>
                <w:b/>
                <w:iCs/>
                <w:sz w:val="26"/>
                <w:szCs w:val="26"/>
              </w:rPr>
            </w:pPr>
            <w:r w:rsidRPr="000476A7">
              <w:rPr>
                <w:b/>
                <w:iCs/>
                <w:sz w:val="26"/>
                <w:szCs w:val="26"/>
              </w:rPr>
              <w:t>Temas</w:t>
            </w:r>
          </w:p>
        </w:tc>
        <w:tc>
          <w:tcPr>
            <w:tcW w:w="4607" w:type="dxa"/>
          </w:tcPr>
          <w:p w:rsidR="00995CC1" w:rsidRPr="000476A7" w:rsidRDefault="00995CC1" w:rsidP="004C52AA">
            <w:pPr>
              <w:autoSpaceDE w:val="0"/>
              <w:autoSpaceDN w:val="0"/>
              <w:adjustRightInd w:val="0"/>
              <w:spacing w:line="276" w:lineRule="auto"/>
              <w:jc w:val="center"/>
              <w:rPr>
                <w:b/>
                <w:iCs/>
                <w:sz w:val="26"/>
                <w:szCs w:val="26"/>
              </w:rPr>
            </w:pPr>
            <w:r w:rsidRPr="000476A7">
              <w:rPr>
                <w:b/>
                <w:iCs/>
                <w:sz w:val="26"/>
                <w:szCs w:val="26"/>
              </w:rPr>
              <w:t>Situação</w:t>
            </w:r>
          </w:p>
        </w:tc>
        <w:tc>
          <w:tcPr>
            <w:tcW w:w="1560" w:type="dxa"/>
          </w:tcPr>
          <w:p w:rsidR="00995CC1" w:rsidRPr="000476A7" w:rsidRDefault="00995CC1" w:rsidP="004C52AA">
            <w:pPr>
              <w:autoSpaceDE w:val="0"/>
              <w:autoSpaceDN w:val="0"/>
              <w:adjustRightInd w:val="0"/>
              <w:spacing w:line="276" w:lineRule="auto"/>
              <w:jc w:val="center"/>
              <w:rPr>
                <w:b/>
                <w:iCs/>
                <w:sz w:val="26"/>
                <w:szCs w:val="26"/>
              </w:rPr>
            </w:pPr>
            <w:r w:rsidRPr="000476A7">
              <w:rPr>
                <w:b/>
                <w:iCs/>
                <w:sz w:val="26"/>
                <w:szCs w:val="26"/>
              </w:rPr>
              <w:t>Data realizada</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Julho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Requerimento de Informações</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Dados sobre investimentos na área de sua competência destacando os avanços e desafios a serem enfrentados e sugestões de aprimoramento da legislação específica</w:t>
            </w:r>
          </w:p>
        </w:tc>
        <w:tc>
          <w:tcPr>
            <w:tcW w:w="460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Por iniciativa do Requerimento nº 1038 do Senador Wellington Fagundes, foram solicitadas informações ao Ministro-Chefe da Secretaria de Portos da Presidência da República sobre investimentos em portos nos últimos quatro anos.</w:t>
            </w:r>
          </w:p>
        </w:tc>
        <w:tc>
          <w:tcPr>
            <w:tcW w:w="1560"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Informações recebidas em 23/11/2015</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Julho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Requerimento de Informações</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Dados sobre investimentos na área de sua competência destacando os avanços e desafios a serem enfrentados e sugestões de aprimoramento da legislação específica</w:t>
            </w:r>
          </w:p>
        </w:tc>
        <w:tc>
          <w:tcPr>
            <w:tcW w:w="460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Por iniciativa do Requerimento nº 1039 do Senador Wellington Fagundes, foram solicitadas informações ao Ministro dos Transportes sobre investimentos em rodovias, ferrovias e hidrovias nos últimos quatro anos.</w:t>
            </w:r>
          </w:p>
        </w:tc>
        <w:tc>
          <w:tcPr>
            <w:tcW w:w="1560" w:type="dxa"/>
          </w:tcPr>
          <w:p w:rsidR="0020787C" w:rsidRPr="000476A7" w:rsidRDefault="00CB3B6C" w:rsidP="009619E7">
            <w:pPr>
              <w:autoSpaceDE w:val="0"/>
              <w:autoSpaceDN w:val="0"/>
              <w:adjustRightInd w:val="0"/>
              <w:spacing w:line="276" w:lineRule="auto"/>
              <w:jc w:val="both"/>
              <w:rPr>
                <w:iCs/>
                <w:sz w:val="26"/>
                <w:szCs w:val="26"/>
              </w:rPr>
            </w:pPr>
            <w:r w:rsidRPr="000476A7">
              <w:rPr>
                <w:iCs/>
                <w:sz w:val="26"/>
                <w:szCs w:val="26"/>
              </w:rPr>
              <w:t>Informações</w:t>
            </w:r>
            <w:r w:rsidR="00A93BD5" w:rsidRPr="000476A7">
              <w:rPr>
                <w:iCs/>
                <w:sz w:val="26"/>
                <w:szCs w:val="26"/>
              </w:rPr>
              <w:t xml:space="preserve"> parcialmente recebidas em 11/12/2015</w:t>
            </w:r>
            <w:r w:rsidRPr="000476A7">
              <w:rPr>
                <w:iCs/>
                <w:sz w:val="26"/>
                <w:szCs w:val="26"/>
              </w:rPr>
              <w:t xml:space="preserve"> </w:t>
            </w:r>
          </w:p>
        </w:tc>
      </w:tr>
      <w:tr w:rsidR="0020787C" w:rsidRPr="000476A7" w:rsidTr="00DD4147">
        <w:trPr>
          <w:cantSplit/>
        </w:trPr>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Julho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Requerimento de Informações</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Dados sobre investimentos na área de sua competência destacando os avanços e desafios a serem enfrentados e sugestões de aprimoramento da legislação específica</w:t>
            </w:r>
          </w:p>
        </w:tc>
        <w:tc>
          <w:tcPr>
            <w:tcW w:w="460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Por iniciativa do Requerimento nº 1040 do Senador Wellington Fagundes, foram solicitadas informações ao Ministro-Chefe da Secretaria de Aviação Civil da Presidência da República sobre investimentos previstos e realizados em aeroportos nos últimos quatro anos.</w:t>
            </w:r>
          </w:p>
        </w:tc>
        <w:tc>
          <w:tcPr>
            <w:tcW w:w="1560" w:type="dxa"/>
          </w:tcPr>
          <w:p w:rsidR="0020787C" w:rsidRPr="000476A7" w:rsidRDefault="00CB3B6C" w:rsidP="009619E7">
            <w:pPr>
              <w:autoSpaceDE w:val="0"/>
              <w:autoSpaceDN w:val="0"/>
              <w:adjustRightInd w:val="0"/>
              <w:spacing w:line="276" w:lineRule="auto"/>
              <w:jc w:val="both"/>
              <w:rPr>
                <w:iCs/>
                <w:sz w:val="26"/>
                <w:szCs w:val="26"/>
              </w:rPr>
            </w:pPr>
            <w:r w:rsidRPr="000476A7">
              <w:rPr>
                <w:iCs/>
                <w:sz w:val="26"/>
                <w:szCs w:val="26"/>
              </w:rPr>
              <w:t>Informações recebidas em 10/12/2015</w:t>
            </w:r>
          </w:p>
        </w:tc>
      </w:tr>
      <w:tr w:rsidR="0020787C" w:rsidRPr="000476A7" w:rsidTr="00DD4147">
        <w:trPr>
          <w:cantSplit/>
        </w:trPr>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De agosto a setembro.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Audiência Pública</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 xml:space="preserve">Discutir os motivos que acarretam obras atrasadas e inacabadas. </w:t>
            </w:r>
            <w:r w:rsidR="006545CE" w:rsidRPr="000476A7">
              <w:rPr>
                <w:iCs/>
                <w:sz w:val="26"/>
                <w:szCs w:val="26"/>
              </w:rPr>
              <w:t>D</w:t>
            </w:r>
            <w:r w:rsidRPr="000476A7">
              <w:rPr>
                <w:iCs/>
                <w:sz w:val="26"/>
                <w:szCs w:val="26"/>
              </w:rPr>
              <w:t>iscutir o andamento das obras atuais. Propo</w:t>
            </w:r>
            <w:r w:rsidR="008B4EA0" w:rsidRPr="000476A7">
              <w:rPr>
                <w:iCs/>
                <w:sz w:val="26"/>
                <w:szCs w:val="26"/>
              </w:rPr>
              <w:t>r soluções para evitar atrasos.</w:t>
            </w:r>
          </w:p>
        </w:tc>
        <w:tc>
          <w:tcPr>
            <w:tcW w:w="4607" w:type="dxa"/>
          </w:tcPr>
          <w:p w:rsidR="0020787C" w:rsidRPr="000476A7" w:rsidRDefault="0020787C" w:rsidP="00C94E3A">
            <w:pPr>
              <w:autoSpaceDE w:val="0"/>
              <w:autoSpaceDN w:val="0"/>
              <w:adjustRightInd w:val="0"/>
              <w:spacing w:line="276" w:lineRule="auto"/>
              <w:jc w:val="both"/>
              <w:rPr>
                <w:iCs/>
                <w:sz w:val="26"/>
                <w:szCs w:val="26"/>
              </w:rPr>
            </w:pPr>
            <w:r w:rsidRPr="000476A7">
              <w:rPr>
                <w:iCs/>
                <w:sz w:val="26"/>
                <w:szCs w:val="26"/>
              </w:rPr>
              <w:t>O RQI nº 58 de 2015 foi aprovado apenas em 30/09/2015 e a reunião foi realizada em 03/12/2015, oportunidade em que foram solicitadas informações dos órgãos participantes a saber: Ministério dos Transportes; DNIT; TCU e Valec</w:t>
            </w:r>
            <w:r w:rsidR="00C94E3A">
              <w:rPr>
                <w:iCs/>
                <w:sz w:val="26"/>
                <w:szCs w:val="26"/>
              </w:rPr>
              <w:t>.</w:t>
            </w:r>
          </w:p>
        </w:tc>
        <w:tc>
          <w:tcPr>
            <w:tcW w:w="1560"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03/12/2015</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De agosto a setembro.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Audiência Pública</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Discutir competências concorrentes entre os diversos órgãos do transporte, como ministérios, EPL e agências reguladoras setoriais.</w:t>
            </w:r>
          </w:p>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Debater a interface do planejamento e execução das obras de infraestrutura de transportes com os órgãos ambientais, TCU e Ministério Público.</w:t>
            </w:r>
          </w:p>
        </w:tc>
        <w:tc>
          <w:tcPr>
            <w:tcW w:w="460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O RQI nº 59 de 2015 foi aprovado apenas em 30/09/2015 e a reunião foi realizada em 16/11/2015, oportunidade em que debateram: o Ministro de Estado Chefe da Secretaria de Portos da Presidência da República; o Ministro de Estado Chefe da Secretaria de Aviação Civil da Presidência da República; a Secretária Executiva do Ministério dos Transportes; Diretor de Licenciamento Ambiental do Instituto Brasileiro do Meio Ambiente e dos Recursos Naturais Renováveis (Ibama) e representante do Ministério Público.</w:t>
            </w:r>
          </w:p>
        </w:tc>
        <w:tc>
          <w:tcPr>
            <w:tcW w:w="1560"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16/11/2015</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De agosto a setembro.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Audiência Pública</w:t>
            </w:r>
          </w:p>
        </w:tc>
        <w:tc>
          <w:tcPr>
            <w:tcW w:w="4606"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Discutir o processo de planejamento, contratação e controle de obras públicas em outros países ­ cases de sucesso.</w:t>
            </w:r>
          </w:p>
        </w:tc>
        <w:tc>
          <w:tcPr>
            <w:tcW w:w="460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O RQI nº 60 de 2015 foi aprovado apenas em 30/09/2015 e a reunião foi realizada em 03/12/2015, oportunidade em que foram solicitadas informações dos órgãos participantes a saber: Ministério dos Transportes; DNIT; TCU e Valec, ainda pendentes de recebimento.</w:t>
            </w:r>
          </w:p>
        </w:tc>
        <w:tc>
          <w:tcPr>
            <w:tcW w:w="1560"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03/12/2015</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Final de setembro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sz w:val="26"/>
                <w:szCs w:val="26"/>
              </w:rPr>
              <w:t xml:space="preserve">Apresentação de Relatório </w:t>
            </w:r>
            <w:r w:rsidR="00C94E3A">
              <w:rPr>
                <w:sz w:val="26"/>
                <w:szCs w:val="26"/>
              </w:rPr>
              <w:t>P</w:t>
            </w:r>
            <w:r w:rsidRPr="000476A7">
              <w:rPr>
                <w:sz w:val="26"/>
                <w:szCs w:val="26"/>
              </w:rPr>
              <w:t>reliminar</w:t>
            </w:r>
          </w:p>
        </w:tc>
        <w:tc>
          <w:tcPr>
            <w:tcW w:w="4606" w:type="dxa"/>
          </w:tcPr>
          <w:p w:rsidR="0020787C" w:rsidRPr="000476A7" w:rsidRDefault="0020787C" w:rsidP="009619E7">
            <w:pPr>
              <w:autoSpaceDE w:val="0"/>
              <w:autoSpaceDN w:val="0"/>
              <w:adjustRightInd w:val="0"/>
              <w:spacing w:line="276" w:lineRule="auto"/>
              <w:jc w:val="both"/>
              <w:rPr>
                <w:iCs/>
                <w:sz w:val="26"/>
                <w:szCs w:val="26"/>
              </w:rPr>
            </w:pPr>
          </w:p>
        </w:tc>
        <w:tc>
          <w:tcPr>
            <w:tcW w:w="4607" w:type="dxa"/>
          </w:tcPr>
          <w:p w:rsidR="0020787C" w:rsidRPr="000476A7" w:rsidRDefault="0020787C" w:rsidP="009619E7">
            <w:pPr>
              <w:autoSpaceDE w:val="0"/>
              <w:autoSpaceDN w:val="0"/>
              <w:adjustRightInd w:val="0"/>
              <w:spacing w:line="276" w:lineRule="auto"/>
              <w:jc w:val="both"/>
              <w:rPr>
                <w:iCs/>
                <w:sz w:val="26"/>
                <w:szCs w:val="26"/>
              </w:rPr>
            </w:pPr>
          </w:p>
        </w:tc>
        <w:tc>
          <w:tcPr>
            <w:tcW w:w="1560" w:type="dxa"/>
          </w:tcPr>
          <w:p w:rsidR="0020787C" w:rsidRPr="000476A7" w:rsidRDefault="00003461" w:rsidP="009619E7">
            <w:pPr>
              <w:autoSpaceDE w:val="0"/>
              <w:autoSpaceDN w:val="0"/>
              <w:adjustRightInd w:val="0"/>
              <w:spacing w:line="276" w:lineRule="auto"/>
              <w:jc w:val="both"/>
              <w:rPr>
                <w:iCs/>
                <w:sz w:val="26"/>
                <w:szCs w:val="26"/>
              </w:rPr>
            </w:pPr>
            <w:r>
              <w:rPr>
                <w:iCs/>
                <w:sz w:val="26"/>
                <w:szCs w:val="26"/>
              </w:rPr>
              <w:t>16 de dezembro de 2015</w:t>
            </w:r>
          </w:p>
        </w:tc>
      </w:tr>
      <w:tr w:rsidR="0020787C" w:rsidRPr="000476A7" w:rsidTr="00865F28">
        <w:tc>
          <w:tcPr>
            <w:tcW w:w="1277"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Meados de outubro.</w:t>
            </w:r>
          </w:p>
        </w:tc>
        <w:tc>
          <w:tcPr>
            <w:tcW w:w="1701" w:type="dxa"/>
          </w:tcPr>
          <w:p w:rsidR="0020787C" w:rsidRPr="000476A7" w:rsidRDefault="0020787C" w:rsidP="009619E7">
            <w:pPr>
              <w:autoSpaceDE w:val="0"/>
              <w:autoSpaceDN w:val="0"/>
              <w:adjustRightInd w:val="0"/>
              <w:spacing w:line="276" w:lineRule="auto"/>
              <w:jc w:val="both"/>
              <w:rPr>
                <w:iCs/>
                <w:sz w:val="26"/>
                <w:szCs w:val="26"/>
              </w:rPr>
            </w:pPr>
            <w:r w:rsidRPr="000476A7">
              <w:rPr>
                <w:sz w:val="26"/>
                <w:szCs w:val="26"/>
              </w:rPr>
              <w:t xml:space="preserve">Apresentação de Relatório </w:t>
            </w:r>
            <w:r w:rsidR="00C94E3A">
              <w:rPr>
                <w:sz w:val="26"/>
                <w:szCs w:val="26"/>
              </w:rPr>
              <w:t>D</w:t>
            </w:r>
            <w:r w:rsidRPr="000476A7">
              <w:rPr>
                <w:sz w:val="26"/>
                <w:szCs w:val="26"/>
              </w:rPr>
              <w:t>efinitivo</w:t>
            </w:r>
          </w:p>
        </w:tc>
        <w:tc>
          <w:tcPr>
            <w:tcW w:w="4606" w:type="dxa"/>
          </w:tcPr>
          <w:p w:rsidR="0020787C" w:rsidRPr="000476A7" w:rsidRDefault="0020787C" w:rsidP="009619E7">
            <w:pPr>
              <w:autoSpaceDE w:val="0"/>
              <w:autoSpaceDN w:val="0"/>
              <w:adjustRightInd w:val="0"/>
              <w:spacing w:line="276" w:lineRule="auto"/>
              <w:jc w:val="both"/>
              <w:rPr>
                <w:iCs/>
                <w:sz w:val="26"/>
                <w:szCs w:val="26"/>
              </w:rPr>
            </w:pPr>
          </w:p>
        </w:tc>
        <w:tc>
          <w:tcPr>
            <w:tcW w:w="4607" w:type="dxa"/>
          </w:tcPr>
          <w:p w:rsidR="0020787C" w:rsidRPr="000476A7" w:rsidRDefault="0020787C" w:rsidP="009619E7">
            <w:pPr>
              <w:autoSpaceDE w:val="0"/>
              <w:autoSpaceDN w:val="0"/>
              <w:adjustRightInd w:val="0"/>
              <w:spacing w:line="276" w:lineRule="auto"/>
              <w:jc w:val="both"/>
              <w:rPr>
                <w:iCs/>
                <w:sz w:val="26"/>
                <w:szCs w:val="26"/>
              </w:rPr>
            </w:pPr>
          </w:p>
        </w:tc>
        <w:tc>
          <w:tcPr>
            <w:tcW w:w="1560" w:type="dxa"/>
          </w:tcPr>
          <w:p w:rsidR="0020787C" w:rsidRPr="000476A7" w:rsidRDefault="0020787C" w:rsidP="009619E7">
            <w:pPr>
              <w:autoSpaceDE w:val="0"/>
              <w:autoSpaceDN w:val="0"/>
              <w:adjustRightInd w:val="0"/>
              <w:spacing w:line="276" w:lineRule="auto"/>
              <w:jc w:val="both"/>
              <w:rPr>
                <w:iCs/>
                <w:sz w:val="26"/>
                <w:szCs w:val="26"/>
              </w:rPr>
            </w:pPr>
            <w:r w:rsidRPr="000476A7">
              <w:rPr>
                <w:iCs/>
                <w:sz w:val="26"/>
                <w:szCs w:val="26"/>
              </w:rPr>
              <w:t>Meados de fevereiro de 2016</w:t>
            </w:r>
          </w:p>
        </w:tc>
      </w:tr>
    </w:tbl>
    <w:p w:rsidR="00991136" w:rsidRDefault="00991136" w:rsidP="00991136">
      <w:pPr>
        <w:autoSpaceDE w:val="0"/>
        <w:autoSpaceDN w:val="0"/>
        <w:adjustRightInd w:val="0"/>
        <w:jc w:val="both"/>
        <w:rPr>
          <w:iCs/>
          <w:sz w:val="26"/>
          <w:szCs w:val="26"/>
        </w:rPr>
      </w:pPr>
    </w:p>
    <w:p w:rsidR="007946D1" w:rsidRDefault="007946D1" w:rsidP="007946D1">
      <w:pPr>
        <w:tabs>
          <w:tab w:val="left" w:pos="7938"/>
        </w:tabs>
        <w:autoSpaceDE w:val="0"/>
        <w:autoSpaceDN w:val="0"/>
        <w:adjustRightInd w:val="0"/>
        <w:ind w:firstLine="1418"/>
        <w:jc w:val="both"/>
        <w:rPr>
          <w:sz w:val="26"/>
          <w:szCs w:val="26"/>
        </w:rPr>
      </w:pPr>
    </w:p>
    <w:p w:rsidR="007946D1" w:rsidRDefault="007946D1" w:rsidP="007946D1">
      <w:pPr>
        <w:autoSpaceDE w:val="0"/>
        <w:autoSpaceDN w:val="0"/>
        <w:adjustRightInd w:val="0"/>
        <w:ind w:firstLine="1418"/>
        <w:jc w:val="both"/>
        <w:rPr>
          <w:iCs/>
          <w:sz w:val="26"/>
          <w:szCs w:val="26"/>
        </w:rPr>
      </w:pPr>
      <w:r w:rsidRPr="000476A7">
        <w:rPr>
          <w:sz w:val="26"/>
          <w:szCs w:val="26"/>
        </w:rPr>
        <w:t>Da análise da coluna de situação da Tabela 1, percebe-se que</w:t>
      </w:r>
      <w:r>
        <w:rPr>
          <w:sz w:val="26"/>
          <w:szCs w:val="26"/>
        </w:rPr>
        <w:t xml:space="preserve"> não foi concluída, tempestivamente, </w:t>
      </w:r>
      <w:r w:rsidRPr="000476A7">
        <w:rPr>
          <w:sz w:val="26"/>
          <w:szCs w:val="26"/>
        </w:rPr>
        <w:t xml:space="preserve">a obtenção das informações dos órgãos do </w:t>
      </w:r>
      <w:r>
        <w:rPr>
          <w:sz w:val="26"/>
          <w:szCs w:val="26"/>
        </w:rPr>
        <w:t>E</w:t>
      </w:r>
      <w:r w:rsidRPr="000476A7">
        <w:rPr>
          <w:sz w:val="26"/>
          <w:szCs w:val="26"/>
        </w:rPr>
        <w:t xml:space="preserve">xecutivo, bem como houve atraso na realização das audiências públicas planejadas. </w:t>
      </w:r>
      <w:r>
        <w:rPr>
          <w:sz w:val="26"/>
          <w:szCs w:val="26"/>
        </w:rPr>
        <w:t>A maioria das</w:t>
      </w:r>
      <w:r w:rsidRPr="000476A7">
        <w:rPr>
          <w:sz w:val="26"/>
          <w:szCs w:val="26"/>
        </w:rPr>
        <w:t xml:space="preserve"> informações</w:t>
      </w:r>
      <w:r>
        <w:rPr>
          <w:sz w:val="26"/>
          <w:szCs w:val="26"/>
        </w:rPr>
        <w:t xml:space="preserve"> oficiais chegou ao Senado a partir de dezembro inviabilizando a elaboração do Relatório Final ainda em 2015. De maneira que a</w:t>
      </w:r>
      <w:r w:rsidRPr="000476A7">
        <w:rPr>
          <w:sz w:val="26"/>
          <w:szCs w:val="26"/>
        </w:rPr>
        <w:t xml:space="preserve"> apresentação do Relatório Final </w:t>
      </w:r>
      <w:r>
        <w:rPr>
          <w:sz w:val="26"/>
          <w:szCs w:val="26"/>
        </w:rPr>
        <w:t>da</w:t>
      </w:r>
      <w:r w:rsidRPr="000476A7">
        <w:rPr>
          <w:sz w:val="26"/>
          <w:szCs w:val="26"/>
        </w:rPr>
        <w:t xml:space="preserve"> avaliação de Política Pública </w:t>
      </w:r>
      <w:r>
        <w:rPr>
          <w:sz w:val="26"/>
          <w:szCs w:val="26"/>
        </w:rPr>
        <w:t>foi postergada pela</w:t>
      </w:r>
      <w:r w:rsidRPr="000476A7">
        <w:rPr>
          <w:sz w:val="26"/>
          <w:szCs w:val="26"/>
        </w:rPr>
        <w:t xml:space="preserve"> Comissão de Serviços de Infraestrutura </w:t>
      </w:r>
      <w:r>
        <w:rPr>
          <w:sz w:val="26"/>
          <w:szCs w:val="26"/>
        </w:rPr>
        <w:t>para o início d</w:t>
      </w:r>
      <w:r w:rsidRPr="000476A7">
        <w:rPr>
          <w:sz w:val="26"/>
          <w:szCs w:val="26"/>
        </w:rPr>
        <w:t>a sessão legislativa de 2016.</w:t>
      </w:r>
    </w:p>
    <w:p w:rsidR="007946D1" w:rsidRPr="000476A7" w:rsidRDefault="007946D1" w:rsidP="00991136">
      <w:pPr>
        <w:autoSpaceDE w:val="0"/>
        <w:autoSpaceDN w:val="0"/>
        <w:adjustRightInd w:val="0"/>
        <w:jc w:val="both"/>
        <w:rPr>
          <w:iCs/>
          <w:sz w:val="26"/>
          <w:szCs w:val="26"/>
        </w:rPr>
      </w:pPr>
    </w:p>
    <w:p w:rsidR="00995CC1" w:rsidRPr="000476A7" w:rsidRDefault="00995CC1" w:rsidP="003D6FCD">
      <w:pPr>
        <w:autoSpaceDE w:val="0"/>
        <w:autoSpaceDN w:val="0"/>
        <w:adjustRightInd w:val="0"/>
        <w:spacing w:after="360"/>
        <w:ind w:firstLine="1418"/>
        <w:jc w:val="both"/>
        <w:rPr>
          <w:iCs/>
          <w:sz w:val="26"/>
          <w:szCs w:val="26"/>
        </w:rPr>
        <w:sectPr w:rsidR="00995CC1" w:rsidRPr="000476A7" w:rsidSect="00995CC1">
          <w:pgSz w:w="16840" w:h="11907" w:orient="landscape" w:code="9"/>
          <w:pgMar w:top="1417" w:right="1417" w:bottom="1701" w:left="1984" w:header="709" w:footer="709" w:gutter="0"/>
          <w:cols w:space="720"/>
          <w:titlePg/>
          <w:docGrid w:linePitch="326"/>
        </w:sectPr>
      </w:pPr>
    </w:p>
    <w:p w:rsidR="00C72598" w:rsidRPr="000476A7" w:rsidRDefault="00C72598" w:rsidP="00C72598">
      <w:pPr>
        <w:pStyle w:val="Legenda"/>
        <w:jc w:val="both"/>
        <w:rPr>
          <w:sz w:val="26"/>
          <w:szCs w:val="26"/>
        </w:rPr>
      </w:pPr>
      <w:bookmarkStart w:id="3" w:name="_Toc399854055"/>
      <w:r>
        <w:rPr>
          <w:smallCaps/>
          <w:sz w:val="26"/>
          <w:szCs w:val="26"/>
        </w:rPr>
        <w:t>2</w:t>
      </w:r>
      <w:r w:rsidRPr="000476A7">
        <w:rPr>
          <w:smallCaps/>
          <w:sz w:val="26"/>
          <w:szCs w:val="26"/>
        </w:rPr>
        <w:t>. Marco Legal e Política de planejamento</w:t>
      </w:r>
    </w:p>
    <w:p w:rsidR="00C72598" w:rsidRPr="000476A7" w:rsidRDefault="00C72598" w:rsidP="00C72598">
      <w:pPr>
        <w:pStyle w:val="Ttulo0"/>
        <w:rPr>
          <w:sz w:val="26"/>
          <w:szCs w:val="26"/>
        </w:rPr>
      </w:pPr>
      <w:bookmarkStart w:id="4" w:name="_Toc442974375"/>
      <w:r>
        <w:rPr>
          <w:sz w:val="26"/>
          <w:szCs w:val="26"/>
        </w:rPr>
        <w:t>2</w:t>
      </w:r>
      <w:r w:rsidRPr="000476A7">
        <w:rPr>
          <w:sz w:val="26"/>
          <w:szCs w:val="26"/>
        </w:rPr>
        <w:t>.1 Marco Legal e Quadro Institucional</w:t>
      </w:r>
      <w:bookmarkEnd w:id="4"/>
    </w:p>
    <w:p w:rsidR="00C72598" w:rsidRPr="000476A7" w:rsidRDefault="00C72598" w:rsidP="00C72598">
      <w:pPr>
        <w:pStyle w:val="04-PargrafodetextoEstudoNotas-CLG"/>
        <w:spacing w:line="240" w:lineRule="auto"/>
        <w:rPr>
          <w:sz w:val="26"/>
          <w:szCs w:val="26"/>
        </w:rPr>
      </w:pPr>
      <w:r w:rsidRPr="000476A7">
        <w:rPr>
          <w:rStyle w:val="05-Pargrafodetexto-CLGChar"/>
          <w:sz w:val="26"/>
          <w:szCs w:val="26"/>
        </w:rPr>
        <w:t>Segundo a Constituição Federal</w:t>
      </w:r>
      <w:r>
        <w:rPr>
          <w:rStyle w:val="05-Pargrafodetexto-CLGChar"/>
          <w:sz w:val="26"/>
          <w:szCs w:val="26"/>
        </w:rPr>
        <w:t xml:space="preserve"> de 1988</w:t>
      </w:r>
      <w:r w:rsidRPr="000476A7">
        <w:rPr>
          <w:rStyle w:val="05-Pargrafodetexto-CLGChar"/>
          <w:sz w:val="26"/>
          <w:szCs w:val="26"/>
        </w:rPr>
        <w:t>, compete à União explorar, diretamente ou mediante autorização, concessão ou permissão: a navegação aérea e a infraestrutura aeroportuária</w:t>
      </w:r>
      <w:r w:rsidRPr="000476A7">
        <w:rPr>
          <w:sz w:val="26"/>
          <w:szCs w:val="26"/>
        </w:rPr>
        <w:t xml:space="preserve"> (art. 21, XII, c); os serviços de transporte ferroviário e aquaviário entre portos brasileiros e fronteiras nacionais, ou que transponham os limites de Estado ou Território (art. 21, XII, </w:t>
      </w:r>
      <w:r w:rsidRPr="000476A7">
        <w:rPr>
          <w:i/>
          <w:sz w:val="26"/>
          <w:szCs w:val="26"/>
        </w:rPr>
        <w:t>d</w:t>
      </w:r>
      <w:r w:rsidRPr="000476A7">
        <w:rPr>
          <w:sz w:val="26"/>
          <w:szCs w:val="26"/>
        </w:rPr>
        <w:t xml:space="preserve">); os serviços de transporte rodoviário interestadual e internacional de passageiros  (art. 21, XII, e) e os portos marítimos, fluviais e lacustres (art. 21, XII, </w:t>
      </w:r>
      <w:r w:rsidRPr="000476A7">
        <w:rPr>
          <w:i/>
          <w:sz w:val="26"/>
          <w:szCs w:val="26"/>
        </w:rPr>
        <w:t>f</w:t>
      </w:r>
      <w:r w:rsidRPr="000476A7">
        <w:rPr>
          <w:sz w:val="26"/>
          <w:szCs w:val="26"/>
        </w:rPr>
        <w:t>). Ademais, compete à União instituir diretrizes para transportes urbanos e estabelecer princípios e diretrizes para o sistema nacional de viação.</w:t>
      </w:r>
    </w:p>
    <w:p w:rsidR="00C72598" w:rsidRDefault="00C72598" w:rsidP="00C72598">
      <w:pPr>
        <w:pStyle w:val="04-PargrafodetextoEstudoNotas-CLG"/>
        <w:spacing w:line="240" w:lineRule="auto"/>
        <w:rPr>
          <w:sz w:val="26"/>
          <w:szCs w:val="26"/>
        </w:rPr>
      </w:pPr>
      <w:r w:rsidRPr="000476A7">
        <w:rPr>
          <w:sz w:val="26"/>
          <w:szCs w:val="26"/>
        </w:rPr>
        <w:t>Além disso, a União detém a competência para legislar privativamente sobre: diretrizes da política nacional de transportes; regime dos portos, navegação lacustre, fluvial, marítima, aérea e aeroespacial (art. 22, X) e trânsito e transporte. Os Estados são competentes para explorar os serviços realizados exclusivamente em seus territórios.</w:t>
      </w:r>
    </w:p>
    <w:p w:rsidR="00B83C51" w:rsidRDefault="007946D1" w:rsidP="00C72598">
      <w:pPr>
        <w:pStyle w:val="04-PargrafodetextoEstudoNotas-CLG"/>
        <w:spacing w:line="240" w:lineRule="auto"/>
        <w:rPr>
          <w:sz w:val="26"/>
          <w:szCs w:val="26"/>
        </w:rPr>
      </w:pPr>
      <w:r>
        <w:rPr>
          <w:sz w:val="26"/>
          <w:szCs w:val="26"/>
        </w:rPr>
        <w:t>A administração do</w:t>
      </w:r>
      <w:r w:rsidR="00C72598">
        <w:rPr>
          <w:sz w:val="26"/>
          <w:szCs w:val="26"/>
        </w:rPr>
        <w:t xml:space="preserve"> setor de transportes, atualmente, é organizad</w:t>
      </w:r>
      <w:r>
        <w:rPr>
          <w:sz w:val="26"/>
          <w:szCs w:val="26"/>
        </w:rPr>
        <w:t>a</w:t>
      </w:r>
      <w:r w:rsidR="00C72598">
        <w:rPr>
          <w:sz w:val="26"/>
          <w:szCs w:val="26"/>
        </w:rPr>
        <w:t xml:space="preserve"> de forma descentralizada </w:t>
      </w:r>
      <w:r>
        <w:rPr>
          <w:sz w:val="26"/>
          <w:szCs w:val="26"/>
        </w:rPr>
        <w:t xml:space="preserve">em vários órgãos, entidades, secretarias com </w:t>
      </w:r>
      <w:r w:rsidRPr="007946D1">
        <w:rPr>
          <w:i/>
          <w:sz w:val="26"/>
          <w:szCs w:val="26"/>
        </w:rPr>
        <w:t>status</w:t>
      </w:r>
      <w:r>
        <w:rPr>
          <w:sz w:val="26"/>
          <w:szCs w:val="26"/>
        </w:rPr>
        <w:t xml:space="preserve"> de ministério e o </w:t>
      </w:r>
      <w:r w:rsidR="00C72598">
        <w:rPr>
          <w:sz w:val="26"/>
          <w:szCs w:val="26"/>
        </w:rPr>
        <w:t>Ministério dos Transportes (MT),</w:t>
      </w:r>
      <w:r>
        <w:rPr>
          <w:sz w:val="26"/>
          <w:szCs w:val="26"/>
        </w:rPr>
        <w:t xml:space="preserve"> propriamente dito. O MT</w:t>
      </w:r>
      <w:r w:rsidR="00C72598">
        <w:rPr>
          <w:sz w:val="26"/>
          <w:szCs w:val="26"/>
        </w:rPr>
        <w:t xml:space="preserve"> possui competências nos setores de transporte dutoviário, rodoviário, ferroviário e aquaviário</w:t>
      </w:r>
      <w:r w:rsidR="00B83C51">
        <w:rPr>
          <w:sz w:val="26"/>
          <w:szCs w:val="26"/>
        </w:rPr>
        <w:t>. A</w:t>
      </w:r>
      <w:r w:rsidR="00C72598">
        <w:rPr>
          <w:sz w:val="26"/>
          <w:szCs w:val="26"/>
        </w:rPr>
        <w:t xml:space="preserve"> Secretaria de Portos (SEP) possui competências no setor portuário</w:t>
      </w:r>
      <w:r w:rsidR="00B83C51">
        <w:rPr>
          <w:sz w:val="26"/>
          <w:szCs w:val="26"/>
        </w:rPr>
        <w:t>. A</w:t>
      </w:r>
      <w:r w:rsidR="00C72598">
        <w:rPr>
          <w:sz w:val="26"/>
          <w:szCs w:val="26"/>
        </w:rPr>
        <w:t xml:space="preserve"> Secretaria de Aviação Civil (SAC) possui competência no setor de aviação civil.</w:t>
      </w:r>
    </w:p>
    <w:p w:rsidR="00C72598" w:rsidRDefault="00B83C51" w:rsidP="00C72598">
      <w:pPr>
        <w:pStyle w:val="04-PargrafodetextoEstudoNotas-CLG"/>
        <w:spacing w:line="240" w:lineRule="auto"/>
        <w:rPr>
          <w:sz w:val="26"/>
          <w:szCs w:val="26"/>
        </w:rPr>
      </w:pPr>
      <w:r>
        <w:rPr>
          <w:sz w:val="26"/>
          <w:szCs w:val="26"/>
        </w:rPr>
        <w:t xml:space="preserve">Além do </w:t>
      </w:r>
      <w:r w:rsidR="00C72598">
        <w:rPr>
          <w:sz w:val="26"/>
          <w:szCs w:val="26"/>
        </w:rPr>
        <w:t xml:space="preserve">Ministério dos Transportes e </w:t>
      </w:r>
      <w:r>
        <w:rPr>
          <w:sz w:val="26"/>
          <w:szCs w:val="26"/>
        </w:rPr>
        <w:t>d</w:t>
      </w:r>
      <w:r w:rsidR="00C72598">
        <w:rPr>
          <w:sz w:val="26"/>
          <w:szCs w:val="26"/>
        </w:rPr>
        <w:t xml:space="preserve">as Secretarias com </w:t>
      </w:r>
      <w:r w:rsidR="00C72598" w:rsidRPr="00C72598">
        <w:rPr>
          <w:i/>
          <w:sz w:val="26"/>
          <w:szCs w:val="26"/>
        </w:rPr>
        <w:t>status</w:t>
      </w:r>
      <w:r w:rsidR="00C72598">
        <w:rPr>
          <w:sz w:val="26"/>
          <w:szCs w:val="26"/>
        </w:rPr>
        <w:t xml:space="preserve"> de Ministério há o Conselho Nacional de Integração de Política de Transpo</w:t>
      </w:r>
      <w:r w:rsidR="00C94E3A">
        <w:rPr>
          <w:sz w:val="26"/>
          <w:szCs w:val="26"/>
        </w:rPr>
        <w:t>r</w:t>
      </w:r>
      <w:r w:rsidR="00C72598">
        <w:rPr>
          <w:sz w:val="26"/>
          <w:szCs w:val="26"/>
        </w:rPr>
        <w:t>tes (CONIT), órgão de assessoramento diretamente vinculado à Presidência da República</w:t>
      </w:r>
      <w:r>
        <w:rPr>
          <w:sz w:val="26"/>
          <w:szCs w:val="26"/>
        </w:rPr>
        <w:t>, com a finalidade de integrar a política pública na área de transportes</w:t>
      </w:r>
      <w:r w:rsidR="00C72598">
        <w:rPr>
          <w:sz w:val="26"/>
          <w:szCs w:val="26"/>
        </w:rPr>
        <w:t xml:space="preserve">. Compõe também o CONIT os seguintes Ministérios de Estado: </w:t>
      </w:r>
      <w:r w:rsidR="00C72598" w:rsidRPr="00C72598">
        <w:rPr>
          <w:sz w:val="26"/>
          <w:szCs w:val="26"/>
        </w:rPr>
        <w:t xml:space="preserve">Casa Civil; </w:t>
      </w:r>
      <w:r w:rsidR="00C72598">
        <w:rPr>
          <w:sz w:val="26"/>
          <w:szCs w:val="26"/>
        </w:rPr>
        <w:t>Fazenda;</w:t>
      </w:r>
      <w:r w:rsidR="00C72598" w:rsidRPr="00C72598">
        <w:rPr>
          <w:sz w:val="26"/>
          <w:szCs w:val="26"/>
        </w:rPr>
        <w:t xml:space="preserve"> Planejamento</w:t>
      </w:r>
      <w:r w:rsidR="00C72598">
        <w:rPr>
          <w:sz w:val="26"/>
          <w:szCs w:val="26"/>
        </w:rPr>
        <w:t>;</w:t>
      </w:r>
      <w:r w:rsidR="00C72598" w:rsidRPr="00C72598">
        <w:rPr>
          <w:sz w:val="26"/>
          <w:szCs w:val="26"/>
        </w:rPr>
        <w:t xml:space="preserve"> Agricultura</w:t>
      </w:r>
      <w:r w:rsidR="00C72598">
        <w:rPr>
          <w:sz w:val="26"/>
          <w:szCs w:val="26"/>
        </w:rPr>
        <w:t>;</w:t>
      </w:r>
      <w:r w:rsidR="00C72598" w:rsidRPr="00C72598">
        <w:rPr>
          <w:sz w:val="26"/>
          <w:szCs w:val="26"/>
        </w:rPr>
        <w:t xml:space="preserve"> Desenvol</w:t>
      </w:r>
      <w:r w:rsidR="00C72598">
        <w:rPr>
          <w:sz w:val="26"/>
          <w:szCs w:val="26"/>
        </w:rPr>
        <w:t xml:space="preserve">vimento, Indústria e Comércio; </w:t>
      </w:r>
      <w:r w:rsidR="00C72598" w:rsidRPr="00C72598">
        <w:rPr>
          <w:sz w:val="26"/>
          <w:szCs w:val="26"/>
        </w:rPr>
        <w:t>e 6 (seis) representantes da sociedade civil</w:t>
      </w:r>
      <w:r w:rsidR="00C72598">
        <w:rPr>
          <w:sz w:val="26"/>
          <w:szCs w:val="26"/>
        </w:rPr>
        <w:t>.</w:t>
      </w:r>
    </w:p>
    <w:p w:rsidR="00B83C51" w:rsidRDefault="00B83C51" w:rsidP="00C72598">
      <w:pPr>
        <w:pStyle w:val="04-PargrafodetextoEstudoNotas-CLG"/>
        <w:spacing w:line="240" w:lineRule="auto"/>
        <w:rPr>
          <w:sz w:val="26"/>
          <w:szCs w:val="26"/>
        </w:rPr>
      </w:pPr>
      <w:r>
        <w:rPr>
          <w:sz w:val="26"/>
          <w:szCs w:val="26"/>
        </w:rPr>
        <w:t>O</w:t>
      </w:r>
      <w:r w:rsidR="00C72598">
        <w:rPr>
          <w:sz w:val="26"/>
          <w:szCs w:val="26"/>
        </w:rPr>
        <w:t xml:space="preserve"> setor de transportes </w:t>
      </w:r>
      <w:r>
        <w:rPr>
          <w:sz w:val="26"/>
          <w:szCs w:val="26"/>
        </w:rPr>
        <w:t>é</w:t>
      </w:r>
      <w:r w:rsidR="00C72598">
        <w:rPr>
          <w:sz w:val="26"/>
          <w:szCs w:val="26"/>
        </w:rPr>
        <w:t xml:space="preserve"> regulado por quatro agências especiais</w:t>
      </w:r>
      <w:r>
        <w:rPr>
          <w:sz w:val="26"/>
          <w:szCs w:val="26"/>
        </w:rPr>
        <w:t>, a saber</w:t>
      </w:r>
      <w:r w:rsidR="00C72598">
        <w:rPr>
          <w:sz w:val="26"/>
          <w:szCs w:val="26"/>
        </w:rPr>
        <w:t>: Agência Nacional de Aviação Civil, com competência no transporte aéreo; Agência Nacional de Petróleo, com competência no transporte dutoviário de líquidos e gasosos; a Agência Nacional de Transportes Terrestres (ANTT), com competência nos transportes terrestres; e a Agência Nacional de Transporte Aquaviário (Antaq), com competências nos transportes aquaviário e portuário.</w:t>
      </w:r>
    </w:p>
    <w:p w:rsidR="00C72598" w:rsidRDefault="00B83C51" w:rsidP="00C72598">
      <w:pPr>
        <w:pStyle w:val="04-PargrafodetextoEstudoNotas-CLG"/>
        <w:spacing w:line="240" w:lineRule="auto"/>
        <w:rPr>
          <w:sz w:val="26"/>
          <w:szCs w:val="26"/>
        </w:rPr>
      </w:pPr>
      <w:r>
        <w:rPr>
          <w:sz w:val="26"/>
          <w:szCs w:val="26"/>
        </w:rPr>
        <w:t>O DNIT, órgão executivo com competências nas áreas de transporte terrestre e aquaviário é o principal órgão com ação no setor. Entretanto, a</w:t>
      </w:r>
      <w:r w:rsidR="00C72598">
        <w:rPr>
          <w:sz w:val="26"/>
          <w:szCs w:val="26"/>
        </w:rPr>
        <w:t>lém dos órgãos e autarquias, há ainda algumas empresas e sociedades de economia mistas vinculadas àquelas Secretarias e Ministérios, notadamente, a Infraero, empresa pública que administra os aeroportos públicos federais e tem participação acionária em aeroportos privados, vinculada à SAC; a Empresa de Planejamento e Logística (EPL)</w:t>
      </w:r>
      <w:r w:rsidR="00832EFE">
        <w:rPr>
          <w:sz w:val="26"/>
          <w:szCs w:val="26"/>
        </w:rPr>
        <w:t>,</w:t>
      </w:r>
      <w:r w:rsidR="00C72598">
        <w:rPr>
          <w:sz w:val="26"/>
          <w:szCs w:val="26"/>
        </w:rPr>
        <w:t xml:space="preserve"> que funciona como secretaria executiva do CONIT</w:t>
      </w:r>
      <w:r w:rsidR="007D3C29">
        <w:rPr>
          <w:sz w:val="26"/>
          <w:szCs w:val="26"/>
        </w:rPr>
        <w:t>,</w:t>
      </w:r>
      <w:r w:rsidR="00C72598">
        <w:rPr>
          <w:sz w:val="26"/>
          <w:szCs w:val="26"/>
        </w:rPr>
        <w:t xml:space="preserve"> </w:t>
      </w:r>
      <w:r>
        <w:rPr>
          <w:sz w:val="26"/>
          <w:szCs w:val="26"/>
        </w:rPr>
        <w:t xml:space="preserve">e </w:t>
      </w:r>
      <w:r w:rsidR="00C72598">
        <w:rPr>
          <w:sz w:val="26"/>
          <w:szCs w:val="26"/>
        </w:rPr>
        <w:t xml:space="preserve">é responsável pelo planejamento estratégico de transporte, vinculada ao MT; a Companhia Docas do Maranhão, que administra uma série de hidrovias nas regiões norte e nordeste, </w:t>
      </w:r>
      <w:r>
        <w:rPr>
          <w:sz w:val="26"/>
          <w:szCs w:val="26"/>
        </w:rPr>
        <w:t xml:space="preserve">também </w:t>
      </w:r>
      <w:r w:rsidR="00C72598">
        <w:rPr>
          <w:sz w:val="26"/>
          <w:szCs w:val="26"/>
        </w:rPr>
        <w:t>vinculada ao MT, e algumas Companhias Docas, que administram portos p</w:t>
      </w:r>
      <w:r w:rsidR="007946D1">
        <w:rPr>
          <w:sz w:val="26"/>
          <w:szCs w:val="26"/>
        </w:rPr>
        <w:t>úblicos, essas vinculadas à SEP. Tudo conforme ilustrado na Figura 1, a seguir:</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425"/>
        <w:gridCol w:w="1396"/>
        <w:gridCol w:w="21"/>
        <w:gridCol w:w="1276"/>
        <w:gridCol w:w="1276"/>
        <w:gridCol w:w="709"/>
        <w:gridCol w:w="567"/>
        <w:gridCol w:w="1134"/>
      </w:tblGrid>
      <w:tr w:rsidR="007D3C29" w:rsidRPr="00140771" w:rsidTr="00D673BE">
        <w:tc>
          <w:tcPr>
            <w:tcW w:w="1242" w:type="dxa"/>
            <w:vAlign w:val="center"/>
          </w:tcPr>
          <w:p w:rsidR="007D3C29" w:rsidRPr="00140771" w:rsidRDefault="007D3C29" w:rsidP="00F57BB6">
            <w:pPr>
              <w:pStyle w:val="04-PargrafodetextoEstudoNotas-CLG"/>
              <w:spacing w:after="0" w:line="240" w:lineRule="auto"/>
              <w:ind w:firstLine="0"/>
              <w:jc w:val="center"/>
              <w:rPr>
                <w:sz w:val="22"/>
                <w:szCs w:val="22"/>
              </w:rPr>
            </w:pPr>
            <w:r w:rsidRPr="00140771">
              <w:rPr>
                <w:sz w:val="22"/>
                <w:szCs w:val="22"/>
              </w:rPr>
              <w:t>Setor</w:t>
            </w:r>
          </w:p>
        </w:tc>
        <w:tc>
          <w:tcPr>
            <w:tcW w:w="1418"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Aéreo</w:t>
            </w:r>
          </w:p>
        </w:tc>
        <w:tc>
          <w:tcPr>
            <w:tcW w:w="1417"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Dutoviário</w:t>
            </w:r>
          </w:p>
        </w:tc>
        <w:tc>
          <w:tcPr>
            <w:tcW w:w="1276"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Rodoviário</w:t>
            </w:r>
          </w:p>
        </w:tc>
        <w:tc>
          <w:tcPr>
            <w:tcW w:w="1276"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Ferroviário</w:t>
            </w:r>
          </w:p>
        </w:tc>
        <w:tc>
          <w:tcPr>
            <w:tcW w:w="1276"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Aquaviário</w:t>
            </w:r>
          </w:p>
        </w:tc>
        <w:tc>
          <w:tcPr>
            <w:tcW w:w="1134"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Portuário</w:t>
            </w:r>
          </w:p>
        </w:tc>
      </w:tr>
      <w:tr w:rsidR="007D3C29" w:rsidRPr="00140771" w:rsidTr="00D673BE">
        <w:tc>
          <w:tcPr>
            <w:tcW w:w="1242" w:type="dxa"/>
            <w:vAlign w:val="center"/>
          </w:tcPr>
          <w:p w:rsidR="007D3C29" w:rsidRPr="00140771" w:rsidRDefault="007D3C29" w:rsidP="00F57BB6">
            <w:pPr>
              <w:pStyle w:val="04-PargrafodetextoEstudoNotas-CLG"/>
              <w:spacing w:after="0" w:line="240" w:lineRule="auto"/>
              <w:ind w:firstLine="0"/>
              <w:jc w:val="center"/>
              <w:rPr>
                <w:sz w:val="22"/>
                <w:szCs w:val="22"/>
              </w:rPr>
            </w:pPr>
            <w:r w:rsidRPr="00140771">
              <w:rPr>
                <w:sz w:val="22"/>
                <w:szCs w:val="22"/>
              </w:rPr>
              <w:t>Conselho</w:t>
            </w:r>
          </w:p>
        </w:tc>
        <w:tc>
          <w:tcPr>
            <w:tcW w:w="7797" w:type="dxa"/>
            <w:gridSpan w:val="9"/>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CONIT</w:t>
            </w:r>
          </w:p>
        </w:tc>
      </w:tr>
      <w:tr w:rsidR="007D3C29" w:rsidRPr="00140771" w:rsidTr="00D673BE">
        <w:tc>
          <w:tcPr>
            <w:tcW w:w="1242" w:type="dxa"/>
            <w:vAlign w:val="center"/>
          </w:tcPr>
          <w:p w:rsidR="007D3C29" w:rsidRPr="00140771" w:rsidRDefault="007D3C29" w:rsidP="00F57BB6">
            <w:pPr>
              <w:pStyle w:val="04-PargrafodetextoEstudoNotas-CLG"/>
              <w:spacing w:after="0" w:line="240" w:lineRule="auto"/>
              <w:ind w:firstLine="0"/>
              <w:jc w:val="center"/>
              <w:rPr>
                <w:sz w:val="22"/>
                <w:szCs w:val="22"/>
              </w:rPr>
            </w:pPr>
            <w:r w:rsidRPr="00140771">
              <w:rPr>
                <w:sz w:val="22"/>
                <w:szCs w:val="22"/>
              </w:rPr>
              <w:t>Ministério</w:t>
            </w:r>
          </w:p>
        </w:tc>
        <w:tc>
          <w:tcPr>
            <w:tcW w:w="1418"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SAC</w:t>
            </w:r>
          </w:p>
        </w:tc>
        <w:tc>
          <w:tcPr>
            <w:tcW w:w="1396"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MME</w:t>
            </w:r>
          </w:p>
        </w:tc>
        <w:tc>
          <w:tcPr>
            <w:tcW w:w="3849" w:type="dxa"/>
            <w:gridSpan w:val="5"/>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Ministério dos Transportes</w:t>
            </w:r>
          </w:p>
        </w:tc>
        <w:tc>
          <w:tcPr>
            <w:tcW w:w="1134"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SEP</w:t>
            </w:r>
          </w:p>
        </w:tc>
      </w:tr>
      <w:tr w:rsidR="007D3C29" w:rsidRPr="00C72598" w:rsidTr="00D673BE">
        <w:tc>
          <w:tcPr>
            <w:tcW w:w="1242" w:type="dxa"/>
            <w:vAlign w:val="center"/>
          </w:tcPr>
          <w:p w:rsidR="007D3C29" w:rsidRPr="00C72598" w:rsidRDefault="007D3C29" w:rsidP="00F57BB6">
            <w:pPr>
              <w:pStyle w:val="04-PargrafodetextoEstudoNotas-CLG"/>
              <w:spacing w:after="0" w:line="240" w:lineRule="auto"/>
              <w:ind w:firstLine="0"/>
              <w:jc w:val="center"/>
              <w:rPr>
                <w:sz w:val="22"/>
                <w:szCs w:val="22"/>
              </w:rPr>
            </w:pPr>
            <w:r w:rsidRPr="00C72598">
              <w:rPr>
                <w:sz w:val="22"/>
                <w:szCs w:val="22"/>
              </w:rPr>
              <w:t>Órgão</w:t>
            </w:r>
            <w:r w:rsidR="00D673BE">
              <w:rPr>
                <w:sz w:val="22"/>
                <w:szCs w:val="22"/>
              </w:rPr>
              <w:t>s</w:t>
            </w:r>
          </w:p>
        </w:tc>
        <w:tc>
          <w:tcPr>
            <w:tcW w:w="1418" w:type="dxa"/>
            <w:gridSpan w:val="2"/>
            <w:vAlign w:val="center"/>
          </w:tcPr>
          <w:p w:rsidR="007D3C29" w:rsidRPr="00C72598" w:rsidRDefault="007D3C29" w:rsidP="00C72598">
            <w:pPr>
              <w:pStyle w:val="04-PargrafodetextoEstudoNotas-CLG"/>
              <w:spacing w:after="0" w:line="240" w:lineRule="auto"/>
              <w:ind w:firstLine="0"/>
              <w:jc w:val="center"/>
              <w:rPr>
                <w:sz w:val="22"/>
                <w:szCs w:val="22"/>
              </w:rPr>
            </w:pPr>
          </w:p>
        </w:tc>
        <w:tc>
          <w:tcPr>
            <w:tcW w:w="1396" w:type="dxa"/>
            <w:vAlign w:val="center"/>
          </w:tcPr>
          <w:p w:rsidR="007D3C29" w:rsidRPr="00C72598" w:rsidRDefault="007D3C29" w:rsidP="00C72598">
            <w:pPr>
              <w:pStyle w:val="04-PargrafodetextoEstudoNotas-CLG"/>
              <w:spacing w:after="0" w:line="240" w:lineRule="auto"/>
              <w:ind w:firstLine="0"/>
              <w:jc w:val="center"/>
              <w:rPr>
                <w:sz w:val="22"/>
                <w:szCs w:val="22"/>
              </w:rPr>
            </w:pPr>
          </w:p>
        </w:tc>
        <w:tc>
          <w:tcPr>
            <w:tcW w:w="3282" w:type="dxa"/>
            <w:gridSpan w:val="4"/>
            <w:vAlign w:val="center"/>
          </w:tcPr>
          <w:p w:rsidR="007D3C29" w:rsidRPr="00C72598" w:rsidRDefault="007D3C29" w:rsidP="00C72598">
            <w:pPr>
              <w:pStyle w:val="04-PargrafodetextoEstudoNotas-CLG"/>
              <w:spacing w:after="0" w:line="240" w:lineRule="auto"/>
              <w:ind w:firstLine="0"/>
              <w:jc w:val="center"/>
              <w:rPr>
                <w:sz w:val="22"/>
                <w:szCs w:val="22"/>
              </w:rPr>
            </w:pPr>
            <w:r w:rsidRPr="00C72598">
              <w:rPr>
                <w:sz w:val="22"/>
                <w:szCs w:val="22"/>
              </w:rPr>
              <w:t>DNIT</w:t>
            </w:r>
          </w:p>
        </w:tc>
        <w:tc>
          <w:tcPr>
            <w:tcW w:w="567" w:type="dxa"/>
            <w:vAlign w:val="center"/>
          </w:tcPr>
          <w:p w:rsidR="007D3C29" w:rsidRPr="00C72598" w:rsidRDefault="007D3C29" w:rsidP="00C72598">
            <w:pPr>
              <w:pStyle w:val="04-PargrafodetextoEstudoNotas-CLG"/>
              <w:spacing w:after="0" w:line="240" w:lineRule="auto"/>
              <w:ind w:firstLine="0"/>
              <w:jc w:val="center"/>
              <w:rPr>
                <w:sz w:val="22"/>
                <w:szCs w:val="22"/>
              </w:rPr>
            </w:pPr>
          </w:p>
        </w:tc>
        <w:tc>
          <w:tcPr>
            <w:tcW w:w="1134" w:type="dxa"/>
            <w:vAlign w:val="center"/>
          </w:tcPr>
          <w:p w:rsidR="007D3C29" w:rsidRPr="00C72598" w:rsidRDefault="007D3C29" w:rsidP="00C72598">
            <w:pPr>
              <w:pStyle w:val="04-PargrafodetextoEstudoNotas-CLG"/>
              <w:spacing w:after="0" w:line="240" w:lineRule="auto"/>
              <w:ind w:firstLine="0"/>
              <w:jc w:val="center"/>
              <w:rPr>
                <w:sz w:val="22"/>
                <w:szCs w:val="22"/>
              </w:rPr>
            </w:pPr>
          </w:p>
        </w:tc>
      </w:tr>
      <w:tr w:rsidR="007D3C29" w:rsidRPr="00140771" w:rsidTr="00D673BE">
        <w:tc>
          <w:tcPr>
            <w:tcW w:w="1242" w:type="dxa"/>
            <w:vAlign w:val="center"/>
          </w:tcPr>
          <w:p w:rsidR="007D3C29" w:rsidRPr="00140771" w:rsidRDefault="007D3C29" w:rsidP="00F57BB6">
            <w:pPr>
              <w:pStyle w:val="04-PargrafodetextoEstudoNotas-CLG"/>
              <w:spacing w:after="0" w:line="240" w:lineRule="auto"/>
              <w:ind w:firstLine="0"/>
              <w:jc w:val="center"/>
              <w:rPr>
                <w:sz w:val="22"/>
                <w:szCs w:val="22"/>
              </w:rPr>
            </w:pPr>
            <w:r w:rsidRPr="00140771">
              <w:rPr>
                <w:sz w:val="22"/>
                <w:szCs w:val="22"/>
              </w:rPr>
              <w:t>Agências</w:t>
            </w:r>
          </w:p>
        </w:tc>
        <w:tc>
          <w:tcPr>
            <w:tcW w:w="1418"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Anac</w:t>
            </w:r>
          </w:p>
        </w:tc>
        <w:tc>
          <w:tcPr>
            <w:tcW w:w="1396"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ANP</w:t>
            </w:r>
          </w:p>
        </w:tc>
        <w:tc>
          <w:tcPr>
            <w:tcW w:w="2573" w:type="dxa"/>
            <w:gridSpan w:val="3"/>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ANTT</w:t>
            </w:r>
          </w:p>
        </w:tc>
        <w:tc>
          <w:tcPr>
            <w:tcW w:w="2410" w:type="dxa"/>
            <w:gridSpan w:val="3"/>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Antaq</w:t>
            </w:r>
          </w:p>
        </w:tc>
      </w:tr>
      <w:tr w:rsidR="007D3C29" w:rsidRPr="00140771" w:rsidTr="00D673BE">
        <w:tc>
          <w:tcPr>
            <w:tcW w:w="1242" w:type="dxa"/>
            <w:vAlign w:val="center"/>
          </w:tcPr>
          <w:p w:rsidR="007D3C29" w:rsidRPr="00140771" w:rsidRDefault="007D3C29" w:rsidP="00F57BB6">
            <w:pPr>
              <w:pStyle w:val="04-PargrafodetextoEstudoNotas-CLG"/>
              <w:spacing w:after="0" w:line="240" w:lineRule="auto"/>
              <w:ind w:firstLine="0"/>
              <w:jc w:val="center"/>
              <w:rPr>
                <w:sz w:val="22"/>
                <w:szCs w:val="22"/>
              </w:rPr>
            </w:pPr>
            <w:r w:rsidRPr="00140771">
              <w:rPr>
                <w:sz w:val="22"/>
                <w:szCs w:val="22"/>
              </w:rPr>
              <w:t>Empresas</w:t>
            </w:r>
          </w:p>
        </w:tc>
        <w:tc>
          <w:tcPr>
            <w:tcW w:w="993"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Infraero</w:t>
            </w:r>
          </w:p>
        </w:tc>
        <w:tc>
          <w:tcPr>
            <w:tcW w:w="6804" w:type="dxa"/>
            <w:gridSpan w:val="8"/>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EPL</w:t>
            </w:r>
          </w:p>
        </w:tc>
      </w:tr>
      <w:tr w:rsidR="00D673BE" w:rsidRPr="00140771" w:rsidTr="00D673BE">
        <w:tc>
          <w:tcPr>
            <w:tcW w:w="1242" w:type="dxa"/>
            <w:vAlign w:val="center"/>
          </w:tcPr>
          <w:p w:rsidR="007D3C29" w:rsidRPr="00140771" w:rsidRDefault="007D3C29" w:rsidP="00F57BB6">
            <w:pPr>
              <w:pStyle w:val="04-PargrafodetextoEstudoNotas-CLG"/>
              <w:keepNext/>
              <w:spacing w:after="0" w:line="240" w:lineRule="auto"/>
              <w:ind w:firstLine="0"/>
              <w:jc w:val="center"/>
              <w:rPr>
                <w:sz w:val="22"/>
                <w:szCs w:val="22"/>
              </w:rPr>
            </w:pPr>
            <w:r w:rsidRPr="00140771">
              <w:rPr>
                <w:sz w:val="22"/>
                <w:szCs w:val="22"/>
              </w:rPr>
              <w:t>S</w:t>
            </w:r>
            <w:r>
              <w:rPr>
                <w:sz w:val="22"/>
                <w:szCs w:val="22"/>
              </w:rPr>
              <w:t>ociedade de Economia Mista</w:t>
            </w:r>
          </w:p>
        </w:tc>
        <w:tc>
          <w:tcPr>
            <w:tcW w:w="1418"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p>
        </w:tc>
        <w:tc>
          <w:tcPr>
            <w:tcW w:w="1417"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p>
        </w:tc>
        <w:tc>
          <w:tcPr>
            <w:tcW w:w="1276" w:type="dxa"/>
            <w:vAlign w:val="center"/>
          </w:tcPr>
          <w:p w:rsidR="007D3C29" w:rsidRPr="00140771" w:rsidRDefault="007D3C29" w:rsidP="00140771">
            <w:pPr>
              <w:pStyle w:val="04-PargrafodetextoEstudoNotas-CLG"/>
              <w:spacing w:after="0" w:line="240" w:lineRule="auto"/>
              <w:ind w:firstLine="0"/>
              <w:jc w:val="center"/>
              <w:rPr>
                <w:sz w:val="22"/>
                <w:szCs w:val="22"/>
              </w:rPr>
            </w:pPr>
          </w:p>
        </w:tc>
        <w:tc>
          <w:tcPr>
            <w:tcW w:w="1276" w:type="dxa"/>
            <w:vAlign w:val="center"/>
          </w:tcPr>
          <w:p w:rsidR="007D3C29" w:rsidRPr="00140771" w:rsidRDefault="007D3C29" w:rsidP="00140771">
            <w:pPr>
              <w:pStyle w:val="04-PargrafodetextoEstudoNotas-CLG"/>
              <w:spacing w:after="0" w:line="240" w:lineRule="auto"/>
              <w:ind w:firstLine="0"/>
              <w:jc w:val="center"/>
              <w:rPr>
                <w:sz w:val="22"/>
                <w:szCs w:val="22"/>
              </w:rPr>
            </w:pPr>
          </w:p>
        </w:tc>
        <w:tc>
          <w:tcPr>
            <w:tcW w:w="1276" w:type="dxa"/>
            <w:gridSpan w:val="2"/>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Codomar</w:t>
            </w:r>
          </w:p>
        </w:tc>
        <w:tc>
          <w:tcPr>
            <w:tcW w:w="1134" w:type="dxa"/>
            <w:vAlign w:val="center"/>
          </w:tcPr>
          <w:p w:rsidR="007D3C29" w:rsidRPr="00140771" w:rsidRDefault="007D3C29" w:rsidP="00140771">
            <w:pPr>
              <w:pStyle w:val="04-PargrafodetextoEstudoNotas-CLG"/>
              <w:spacing w:after="0" w:line="240" w:lineRule="auto"/>
              <w:ind w:firstLine="0"/>
              <w:jc w:val="center"/>
              <w:rPr>
                <w:sz w:val="22"/>
                <w:szCs w:val="22"/>
              </w:rPr>
            </w:pPr>
            <w:r w:rsidRPr="00140771">
              <w:rPr>
                <w:sz w:val="22"/>
                <w:szCs w:val="22"/>
              </w:rPr>
              <w:t>Cias Docas</w:t>
            </w:r>
          </w:p>
        </w:tc>
      </w:tr>
    </w:tbl>
    <w:p w:rsidR="00C72598" w:rsidRDefault="007D3C29" w:rsidP="007D3C29">
      <w:pPr>
        <w:pStyle w:val="Legenda"/>
        <w:rPr>
          <w:sz w:val="26"/>
          <w:szCs w:val="26"/>
        </w:rPr>
      </w:pPr>
      <w:r>
        <w:t xml:space="preserve">Figura </w:t>
      </w:r>
      <w:fldSimple w:instr=" SEQ Figura \* ARABIC ">
        <w:r w:rsidR="00780B83">
          <w:rPr>
            <w:noProof/>
          </w:rPr>
          <w:t>1</w:t>
        </w:r>
      </w:fldSimple>
      <w:r>
        <w:t xml:space="preserve"> - Síntese dos órgãos e entidades com atuação em Transportes</w:t>
      </w:r>
    </w:p>
    <w:p w:rsidR="00C72598" w:rsidRDefault="00C72598" w:rsidP="00C72598">
      <w:pPr>
        <w:pStyle w:val="04-PargrafodetextoEstudoNotas-CLG"/>
        <w:spacing w:line="240" w:lineRule="auto"/>
        <w:rPr>
          <w:sz w:val="26"/>
          <w:szCs w:val="26"/>
        </w:rPr>
      </w:pPr>
    </w:p>
    <w:p w:rsidR="00C72598" w:rsidRPr="000476A7" w:rsidRDefault="00C72598" w:rsidP="00C72598">
      <w:pPr>
        <w:pStyle w:val="04-PargrafodetextoEstudoNotas-CLG"/>
        <w:spacing w:line="240" w:lineRule="auto"/>
        <w:rPr>
          <w:sz w:val="26"/>
          <w:szCs w:val="26"/>
        </w:rPr>
      </w:pPr>
      <w:r>
        <w:rPr>
          <w:sz w:val="26"/>
          <w:szCs w:val="26"/>
        </w:rPr>
        <w:t>Em 2001 o setor de transporte foi reestruturado pela</w:t>
      </w:r>
      <w:r w:rsidRPr="000476A7">
        <w:rPr>
          <w:sz w:val="26"/>
          <w:szCs w:val="26"/>
        </w:rPr>
        <w:t xml:space="preserve"> Lei nº 10.233, de 5 de junho de 2001, que </w:t>
      </w:r>
      <w:r>
        <w:rPr>
          <w:sz w:val="26"/>
          <w:szCs w:val="26"/>
        </w:rPr>
        <w:t xml:space="preserve">dispôs </w:t>
      </w:r>
      <w:r w:rsidRPr="000476A7">
        <w:rPr>
          <w:sz w:val="26"/>
          <w:szCs w:val="26"/>
        </w:rPr>
        <w:t>sobre a reestruturação dos transportes aquaviário e terrestre, cri</w:t>
      </w:r>
      <w:r>
        <w:rPr>
          <w:sz w:val="26"/>
          <w:szCs w:val="26"/>
        </w:rPr>
        <w:t>ou</w:t>
      </w:r>
      <w:r w:rsidRPr="000476A7">
        <w:rPr>
          <w:sz w:val="26"/>
          <w:szCs w:val="26"/>
        </w:rPr>
        <w:t xml:space="preserve"> o Conselho Nacional de Integração de Políticas de Transporte, a Agência Nacional de Transportes Terrestres, a Agência Nacional de Transportes Aquaviários e o Departamento Nacional de </w:t>
      </w:r>
      <w:r>
        <w:rPr>
          <w:sz w:val="26"/>
          <w:szCs w:val="26"/>
        </w:rPr>
        <w:t>Infra-Estrutura de Transportes. A Lei nº 10.233, de 2001,</w:t>
      </w:r>
      <w:r w:rsidRPr="000476A7">
        <w:rPr>
          <w:sz w:val="26"/>
          <w:szCs w:val="26"/>
        </w:rPr>
        <w:t xml:space="preserve"> determina as competências referentes ao transporte de alçada federal:</w:t>
      </w:r>
    </w:p>
    <w:p w:rsidR="00C72598" w:rsidRDefault="00C72598" w:rsidP="00C72598">
      <w:pPr>
        <w:pStyle w:val="04-PargrafodetextoEstudoNotas-CLG"/>
        <w:numPr>
          <w:ilvl w:val="0"/>
          <w:numId w:val="4"/>
        </w:numPr>
        <w:spacing w:line="240" w:lineRule="auto"/>
        <w:rPr>
          <w:sz w:val="26"/>
          <w:szCs w:val="26"/>
        </w:rPr>
      </w:pPr>
      <w:r w:rsidRPr="000476A7">
        <w:rPr>
          <w:sz w:val="26"/>
          <w:szCs w:val="26"/>
        </w:rPr>
        <w:t xml:space="preserve">compete ao CONIT (Conselho Nacional de Integração de Políticas de Transporte) propor ao Presidente da República políticas nacionais de integração dos diferentes modos de transporte de pessoas e bens (art. 5º); propor medidas que propiciem a integração dos transportes aéreo, aquaviário e terrestre e a harmonização das respectivas políticas setoriais (art. 6, I); </w:t>
      </w:r>
    </w:p>
    <w:p w:rsidR="004E6989" w:rsidRPr="000476A7" w:rsidRDefault="004E6989" w:rsidP="00C72598">
      <w:pPr>
        <w:pStyle w:val="04-PargrafodetextoEstudoNotas-CLG"/>
        <w:numPr>
          <w:ilvl w:val="0"/>
          <w:numId w:val="4"/>
        </w:numPr>
        <w:spacing w:line="240" w:lineRule="auto"/>
        <w:rPr>
          <w:sz w:val="26"/>
          <w:szCs w:val="26"/>
        </w:rPr>
      </w:pPr>
      <w:r w:rsidRPr="000476A7">
        <w:rPr>
          <w:sz w:val="26"/>
          <w:szCs w:val="26"/>
        </w:rPr>
        <w:t>compete à ANT</w:t>
      </w:r>
      <w:r>
        <w:rPr>
          <w:sz w:val="26"/>
          <w:szCs w:val="26"/>
        </w:rPr>
        <w:t>T</w:t>
      </w:r>
      <w:r w:rsidRPr="000476A7">
        <w:rPr>
          <w:sz w:val="26"/>
          <w:szCs w:val="26"/>
        </w:rPr>
        <w:t xml:space="preserve"> (Agência Nacional de Transportes </w:t>
      </w:r>
      <w:r>
        <w:rPr>
          <w:sz w:val="26"/>
          <w:szCs w:val="26"/>
        </w:rPr>
        <w:t>Terrestres</w:t>
      </w:r>
      <w:r w:rsidRPr="000476A7">
        <w:rPr>
          <w:sz w:val="26"/>
          <w:szCs w:val="26"/>
        </w:rPr>
        <w:t>) “propor ao Ministério dos Transportes o</w:t>
      </w:r>
      <w:r>
        <w:rPr>
          <w:sz w:val="26"/>
          <w:szCs w:val="26"/>
        </w:rPr>
        <w:t>s</w:t>
      </w:r>
      <w:r w:rsidRPr="000476A7">
        <w:rPr>
          <w:sz w:val="26"/>
          <w:szCs w:val="26"/>
        </w:rPr>
        <w:t xml:space="preserve"> plano</w:t>
      </w:r>
      <w:r>
        <w:rPr>
          <w:sz w:val="26"/>
          <w:szCs w:val="26"/>
        </w:rPr>
        <w:t>s</w:t>
      </w:r>
      <w:r w:rsidRPr="000476A7">
        <w:rPr>
          <w:sz w:val="26"/>
          <w:szCs w:val="26"/>
        </w:rPr>
        <w:t xml:space="preserve"> de outorgas de exploração da infraestrutura e </w:t>
      </w:r>
      <w:r>
        <w:rPr>
          <w:sz w:val="26"/>
          <w:szCs w:val="26"/>
        </w:rPr>
        <w:t xml:space="preserve">a </w:t>
      </w:r>
      <w:r w:rsidRPr="000476A7">
        <w:rPr>
          <w:sz w:val="26"/>
          <w:szCs w:val="26"/>
        </w:rPr>
        <w:t xml:space="preserve">prestação de serviços de transporte </w:t>
      </w:r>
      <w:r>
        <w:rPr>
          <w:sz w:val="26"/>
          <w:szCs w:val="26"/>
        </w:rPr>
        <w:t>terrestre</w:t>
      </w:r>
      <w:r w:rsidRPr="000476A7">
        <w:rPr>
          <w:sz w:val="26"/>
          <w:szCs w:val="26"/>
        </w:rPr>
        <w:t>” (art. 2</w:t>
      </w:r>
      <w:r>
        <w:rPr>
          <w:sz w:val="26"/>
          <w:szCs w:val="26"/>
        </w:rPr>
        <w:t>4</w:t>
      </w:r>
      <w:r w:rsidRPr="000476A7">
        <w:rPr>
          <w:sz w:val="26"/>
          <w:szCs w:val="26"/>
        </w:rPr>
        <w:t xml:space="preserve">, III) e celebrar atos de outorga de prestação de serviços de transporte pelas empresas de </w:t>
      </w:r>
      <w:r>
        <w:rPr>
          <w:sz w:val="26"/>
          <w:szCs w:val="26"/>
        </w:rPr>
        <w:t>terrestres</w:t>
      </w:r>
      <w:r w:rsidRPr="000476A7">
        <w:rPr>
          <w:sz w:val="26"/>
          <w:szCs w:val="26"/>
        </w:rPr>
        <w:t xml:space="preserve"> (art. 2</w:t>
      </w:r>
      <w:r>
        <w:rPr>
          <w:sz w:val="26"/>
          <w:szCs w:val="26"/>
        </w:rPr>
        <w:t>4</w:t>
      </w:r>
      <w:r w:rsidRPr="000476A7">
        <w:rPr>
          <w:sz w:val="26"/>
          <w:szCs w:val="26"/>
        </w:rPr>
        <w:t xml:space="preserve">, V); </w:t>
      </w:r>
      <w:r>
        <w:rPr>
          <w:sz w:val="26"/>
          <w:szCs w:val="26"/>
        </w:rPr>
        <w:t>promover estudos sobre a logística do transporte intermodal</w:t>
      </w:r>
      <w:r w:rsidRPr="000476A7">
        <w:rPr>
          <w:sz w:val="26"/>
          <w:szCs w:val="26"/>
        </w:rPr>
        <w:t xml:space="preserve"> (art. 2</w:t>
      </w:r>
      <w:r>
        <w:rPr>
          <w:sz w:val="26"/>
          <w:szCs w:val="26"/>
        </w:rPr>
        <w:t>4</w:t>
      </w:r>
      <w:r w:rsidRPr="000476A7">
        <w:rPr>
          <w:sz w:val="26"/>
          <w:szCs w:val="26"/>
        </w:rPr>
        <w:t>, XI)</w:t>
      </w:r>
    </w:p>
    <w:p w:rsidR="00C72598" w:rsidRPr="000476A7" w:rsidRDefault="00C72598" w:rsidP="00C72598">
      <w:pPr>
        <w:pStyle w:val="04-PargrafodetextoEstudoNotas-CLG"/>
        <w:numPr>
          <w:ilvl w:val="0"/>
          <w:numId w:val="4"/>
        </w:numPr>
        <w:spacing w:line="240" w:lineRule="auto"/>
        <w:rPr>
          <w:sz w:val="26"/>
          <w:szCs w:val="26"/>
        </w:rPr>
      </w:pPr>
      <w:r w:rsidRPr="000476A7">
        <w:rPr>
          <w:sz w:val="26"/>
          <w:szCs w:val="26"/>
        </w:rPr>
        <w:t>compete à ANTAQ (Agência Nacional de Transportes Aquaviários) “propor ao Ministério dos Transportes o plano geral de outorgas de exploração da infraestrutura aquaviária e de prestação de serviços de transporte aquaviário” (art. 27, III) e celebrar atos de outorga de prestação de serviços de transporte pelas empresas de navegação aquaviária (art. 27, V); autorizar as empresas brasileiras de navegação aquaviária o afretamento de embarcações estrangeiras para o transporte de carga (art. 27, XXIV).</w:t>
      </w:r>
    </w:p>
    <w:p w:rsidR="00C72598" w:rsidRPr="000476A7" w:rsidRDefault="00C72598" w:rsidP="00C72598">
      <w:pPr>
        <w:pStyle w:val="04-PargrafodetextoEstudoNotas-CLG"/>
        <w:numPr>
          <w:ilvl w:val="0"/>
          <w:numId w:val="4"/>
        </w:numPr>
        <w:spacing w:line="240" w:lineRule="auto"/>
        <w:rPr>
          <w:sz w:val="26"/>
          <w:szCs w:val="26"/>
        </w:rPr>
      </w:pPr>
      <w:r w:rsidRPr="000476A7">
        <w:rPr>
          <w:sz w:val="26"/>
          <w:szCs w:val="26"/>
        </w:rPr>
        <w:t>a esfera de atuação do DNIT (Departamento Nacional de Infra</w:t>
      </w:r>
      <w:r w:rsidR="00F8337C">
        <w:rPr>
          <w:sz w:val="26"/>
          <w:szCs w:val="26"/>
        </w:rPr>
        <w:t>e</w:t>
      </w:r>
      <w:r w:rsidRPr="000476A7">
        <w:rPr>
          <w:sz w:val="26"/>
          <w:szCs w:val="26"/>
        </w:rPr>
        <w:t>strutura de Transportes) compreende as vias navegáveis, eclusas e dispositivos assemelhados (art. 81, I), cabendo-lhe (art. 82) estabelecer os padrões a serem seguidos na infraestrutura sob sua responsabilidade, além de gerenciar e administrar os programas de manutenção e ampliação desse patrimônio.</w:t>
      </w:r>
    </w:p>
    <w:p w:rsidR="00C72598" w:rsidRPr="000476A7" w:rsidRDefault="00C72598" w:rsidP="00C72598">
      <w:pPr>
        <w:pStyle w:val="04-PargrafodetextoEstudoNotas-CLG"/>
        <w:spacing w:line="240" w:lineRule="auto"/>
        <w:rPr>
          <w:sz w:val="26"/>
          <w:szCs w:val="26"/>
        </w:rPr>
      </w:pPr>
      <w:r w:rsidRPr="000476A7">
        <w:rPr>
          <w:sz w:val="26"/>
          <w:szCs w:val="26"/>
        </w:rPr>
        <w:t>A Presidência do CONIT é exercida pelo Ministro dos Transportes e a Secretaria Executiva pela Empresa de Planejamento e Logística S.A – EPL (Decreto nº 7.789, de 2012, art. 7º). A EPL tem como objeto prestar serviços na área de projetos, estudos e pesquisas destinados a subsidiar o planejamento da logística e dos transportes no País, consideradas as infraestruturas, plataformas e os serviços pertinentes aos modos rodoviário, ferroviário, dutoviário, aquaviário e aeroviário (Lei nº 12.404, de 4 de maio de 2011, art. 3º).</w:t>
      </w:r>
    </w:p>
    <w:p w:rsidR="00B61024" w:rsidRDefault="00C72598" w:rsidP="00730F20">
      <w:pPr>
        <w:pStyle w:val="04-PargrafodetextoEstudoNotas-CLG"/>
        <w:spacing w:line="240" w:lineRule="auto"/>
        <w:rPr>
          <w:sz w:val="26"/>
          <w:szCs w:val="26"/>
        </w:rPr>
      </w:pPr>
      <w:r w:rsidRPr="00730F20">
        <w:rPr>
          <w:sz w:val="26"/>
          <w:szCs w:val="26"/>
        </w:rPr>
        <w:t>Em 2005 o setor de transporte aéreo foi reestruturado com a criação da ANAC.</w:t>
      </w:r>
      <w:r w:rsidR="00F8337C">
        <w:rPr>
          <w:sz w:val="26"/>
          <w:szCs w:val="26"/>
        </w:rPr>
        <w:t xml:space="preserve"> Passou-se de um regime com restrição de entrada de novos comp</w:t>
      </w:r>
      <w:r w:rsidR="00B61024">
        <w:rPr>
          <w:sz w:val="26"/>
          <w:szCs w:val="26"/>
        </w:rPr>
        <w:t xml:space="preserve">etidores na </w:t>
      </w:r>
      <w:r w:rsidR="00F8337C">
        <w:rPr>
          <w:sz w:val="26"/>
          <w:szCs w:val="26"/>
        </w:rPr>
        <w:t>oferta de serviços aéreos regulares, para um regime</w:t>
      </w:r>
      <w:r w:rsidR="00B61024">
        <w:rPr>
          <w:sz w:val="26"/>
          <w:szCs w:val="26"/>
        </w:rPr>
        <w:t xml:space="preserve"> de livre iniciativa. Conforme </w:t>
      </w:r>
      <w:r w:rsidR="00F8337C">
        <w:rPr>
          <w:sz w:val="26"/>
          <w:szCs w:val="26"/>
        </w:rPr>
        <w:t>previsto na própria Lei nº 11</w:t>
      </w:r>
      <w:r w:rsidR="00B61024">
        <w:rPr>
          <w:sz w:val="26"/>
          <w:szCs w:val="26"/>
        </w:rPr>
        <w:t>.182, de 27 de setembro de 2005, o regime também passou a ser o de liberdade tarif</w:t>
      </w:r>
      <w:r w:rsidR="00494B96">
        <w:rPr>
          <w:sz w:val="26"/>
          <w:szCs w:val="26"/>
        </w:rPr>
        <w:t>ária para as empresas operadoras de Transporte Aéreo Regular. Em relação aos aeroportos, a partir de 2011 iniciou-se o processo de concessão para empresas privadas. Hoje são 6 aeroportos concessionados: São Gonçalo do Amarante (RN), Brasília (DF), Guarulhos (SP), Campinas (SP),</w:t>
      </w:r>
      <w:r w:rsidR="00183243">
        <w:rPr>
          <w:sz w:val="26"/>
          <w:szCs w:val="26"/>
        </w:rPr>
        <w:t xml:space="preserve"> </w:t>
      </w:r>
      <w:r w:rsidR="00494B96">
        <w:rPr>
          <w:sz w:val="26"/>
          <w:szCs w:val="26"/>
        </w:rPr>
        <w:t xml:space="preserve">Confins (MG) e Galeão (RJ). Em relação a incentivos para operadores de transporte aéreo regional, apesar de aprovado pela Lei nº 13.097, de 19 de janeiro de 2015, o Programa de Desenvolvimento da Aviação Regional nunca foi regulamentado pelo Poder Executivo. </w:t>
      </w:r>
      <w:r w:rsidR="00183243">
        <w:rPr>
          <w:sz w:val="26"/>
          <w:szCs w:val="26"/>
        </w:rPr>
        <w:t>Em termos de investimentos em aeroportos para tráfego regional, desde 2012 foi divulg</w:t>
      </w:r>
      <w:r w:rsidR="00165A5E">
        <w:rPr>
          <w:sz w:val="26"/>
          <w:szCs w:val="26"/>
        </w:rPr>
        <w:t>ado o programa que prevê investimento em 270 aeroportos com recursos do Fundo Nacional de Aviação Civil (FNAC), entretanto, até o momento em nenhum dos aeroportos achegou-se ainda na fase de licitação.</w:t>
      </w:r>
    </w:p>
    <w:p w:rsidR="00C72598" w:rsidRPr="000476A7" w:rsidRDefault="00C72598" w:rsidP="00C72598">
      <w:pPr>
        <w:pStyle w:val="04-PargrafodetextoEstudoNotas-CLG"/>
        <w:spacing w:line="240" w:lineRule="auto"/>
        <w:rPr>
          <w:sz w:val="26"/>
          <w:szCs w:val="26"/>
        </w:rPr>
      </w:pPr>
      <w:r>
        <w:rPr>
          <w:sz w:val="26"/>
          <w:szCs w:val="26"/>
        </w:rPr>
        <w:t xml:space="preserve">Em 2007 o setor de transporte aquaviário foi reestruturado com a criação da SEP. </w:t>
      </w:r>
      <w:r w:rsidRPr="000476A7">
        <w:rPr>
          <w:sz w:val="26"/>
          <w:szCs w:val="26"/>
        </w:rPr>
        <w:t>À Secretaria de Portos (SEP) compete assessorar direta e imediatamente o Presidente da República na formulação de políticas e diretrizes para o desenvolvimento e o fomento do setor de portos e instalações portuárias marítimos, fluviais e lacustres e, especialmente, promover a execução e a avaliação de medidas, programas e projetos de apoio ao desenvolvimento da infraestrutura e da superestrutura dos portos e instalações portuárias marítimos, fluviais e lacustres (Lei nº 10.683, de 28 de maio de 2003, art. 24-A).</w:t>
      </w:r>
    </w:p>
    <w:p w:rsidR="00C72598" w:rsidRDefault="00C72598" w:rsidP="00C72598">
      <w:pPr>
        <w:pStyle w:val="04-PargrafodetextoEstudoNotas-CLG"/>
        <w:spacing w:line="240" w:lineRule="auto"/>
        <w:rPr>
          <w:sz w:val="26"/>
          <w:szCs w:val="26"/>
        </w:rPr>
      </w:pPr>
      <w:r w:rsidRPr="000476A7">
        <w:rPr>
          <w:sz w:val="26"/>
          <w:szCs w:val="26"/>
        </w:rPr>
        <w:t>Como visto, o setor de transportes sofre a interação direta da política pública de diversos órgãos e entidades estatais, como o Ministério dos Transportes, a SEP, a SAC, o CONIT, a EPL, o DNIT, a ANAC e a ANTAQ. Essa acentuada difusão de competências torna o processo decisório lento e burocrático, além de gerar incertezas e inseguranças para investimentos privados no setor.</w:t>
      </w:r>
      <w:r w:rsidR="00D673BE">
        <w:rPr>
          <w:sz w:val="26"/>
          <w:szCs w:val="26"/>
        </w:rPr>
        <w:t xml:space="preserve"> Ademais, o CONIT, órgão que deveria </w:t>
      </w:r>
      <w:r w:rsidR="00D673BE" w:rsidRPr="00D673BE">
        <w:rPr>
          <w:sz w:val="26"/>
          <w:szCs w:val="26"/>
        </w:rPr>
        <w:t>harmoniza</w:t>
      </w:r>
      <w:r w:rsidR="00D673BE">
        <w:rPr>
          <w:sz w:val="26"/>
          <w:szCs w:val="26"/>
        </w:rPr>
        <w:t>r</w:t>
      </w:r>
      <w:r w:rsidR="00D673BE" w:rsidRPr="00D673BE">
        <w:rPr>
          <w:sz w:val="26"/>
          <w:szCs w:val="26"/>
        </w:rPr>
        <w:t xml:space="preserve"> as respectivas políticas setoriais</w:t>
      </w:r>
      <w:r w:rsidR="00D673BE">
        <w:rPr>
          <w:sz w:val="26"/>
          <w:szCs w:val="26"/>
        </w:rPr>
        <w:t xml:space="preserve"> com vistas a integração dos diferentes modais, tem pouca efetividade na prática</w:t>
      </w:r>
      <w:r w:rsidR="00BB43EB">
        <w:rPr>
          <w:sz w:val="26"/>
          <w:szCs w:val="26"/>
        </w:rPr>
        <w:t>. Apesar de sua criação legal em 2001, apenas em 2008 foi regulamentado pelo Decreto nº 6.550, de 27 de agosto de 2008</w:t>
      </w:r>
      <w:r w:rsidR="00BB43EB">
        <w:rPr>
          <w:rStyle w:val="Refdenotaderodap"/>
          <w:sz w:val="26"/>
          <w:szCs w:val="26"/>
        </w:rPr>
        <w:footnoteReference w:id="1"/>
      </w:r>
      <w:r w:rsidR="00BB43EB">
        <w:rPr>
          <w:sz w:val="26"/>
          <w:szCs w:val="26"/>
        </w:rPr>
        <w:t xml:space="preserve">. </w:t>
      </w:r>
    </w:p>
    <w:p w:rsidR="00C72598" w:rsidRPr="000476A7" w:rsidRDefault="00C72598" w:rsidP="00C72598">
      <w:pPr>
        <w:pStyle w:val="Ttulo0"/>
        <w:rPr>
          <w:sz w:val="26"/>
          <w:szCs w:val="26"/>
        </w:rPr>
      </w:pPr>
      <w:bookmarkStart w:id="5" w:name="_Toc442974376"/>
      <w:r>
        <w:rPr>
          <w:sz w:val="26"/>
          <w:szCs w:val="26"/>
        </w:rPr>
        <w:t>2</w:t>
      </w:r>
      <w:r w:rsidRPr="000476A7">
        <w:rPr>
          <w:sz w:val="26"/>
          <w:szCs w:val="26"/>
        </w:rPr>
        <w:t>.</w:t>
      </w:r>
      <w:r>
        <w:rPr>
          <w:sz w:val="26"/>
          <w:szCs w:val="26"/>
        </w:rPr>
        <w:t>2</w:t>
      </w:r>
      <w:r w:rsidRPr="000476A7">
        <w:rPr>
          <w:sz w:val="26"/>
          <w:szCs w:val="26"/>
        </w:rPr>
        <w:t xml:space="preserve"> </w:t>
      </w:r>
      <w:r>
        <w:rPr>
          <w:sz w:val="26"/>
          <w:szCs w:val="26"/>
        </w:rPr>
        <w:t>Política de Planejamento</w:t>
      </w:r>
      <w:bookmarkEnd w:id="5"/>
    </w:p>
    <w:p w:rsidR="00C72598" w:rsidRPr="00B87BD5" w:rsidRDefault="00C72598" w:rsidP="00C72598">
      <w:pPr>
        <w:pStyle w:val="04-PargrafodetextoEstudoNotas-CLG"/>
        <w:spacing w:line="240" w:lineRule="auto"/>
        <w:rPr>
          <w:sz w:val="26"/>
          <w:szCs w:val="26"/>
        </w:rPr>
      </w:pPr>
      <w:r w:rsidRPr="00B87BD5">
        <w:rPr>
          <w:sz w:val="26"/>
          <w:szCs w:val="26"/>
        </w:rPr>
        <w:t>Podemos dizer que o planejamento de transportes no Brasil sempre foi centralizado, tendo havido graus diferentes de liberalismo na exploração da atividade desde os tempos da Administração Imperial</w:t>
      </w:r>
      <w:r>
        <w:rPr>
          <w:sz w:val="26"/>
          <w:szCs w:val="26"/>
        </w:rPr>
        <w:t xml:space="preserve"> até os dias de hoje</w:t>
      </w:r>
      <w:r w:rsidRPr="00B87BD5">
        <w:rPr>
          <w:sz w:val="26"/>
          <w:szCs w:val="26"/>
        </w:rPr>
        <w:t xml:space="preserve">. </w:t>
      </w:r>
      <w:r>
        <w:rPr>
          <w:sz w:val="26"/>
          <w:szCs w:val="26"/>
        </w:rPr>
        <w:t>Nos primórdios da formação do País, a</w:t>
      </w:r>
      <w:r w:rsidRPr="00B87BD5">
        <w:rPr>
          <w:sz w:val="26"/>
          <w:szCs w:val="26"/>
        </w:rPr>
        <w:t xml:space="preserve">s concessões de infraestrutura foram a forma adotada pelo Império para desenvolver o setor de transportes do Brasil, o primeiro marco normativo dessa iniciativa é o Decreto nº 101, de 31 de outubro de 1835, que autorizava a concessão de uma estrada de ferro </w:t>
      </w:r>
      <w:r>
        <w:rPr>
          <w:sz w:val="26"/>
          <w:szCs w:val="26"/>
        </w:rPr>
        <w:t xml:space="preserve">que </w:t>
      </w:r>
      <w:r w:rsidRPr="00B87BD5">
        <w:rPr>
          <w:sz w:val="26"/>
          <w:szCs w:val="26"/>
        </w:rPr>
        <w:t>ligasse a capital do Império, Rio de Janeiro, às províncias de Minas Gerais. Em consequência foi construída a primeira ferrovia do Brasil, ligando o porto de Estrela ao vilarejo de Fragoso, com extensão de 14,5 km, inaugurada em 1854.</w:t>
      </w:r>
      <w:r w:rsidRPr="00B87BD5">
        <w:rPr>
          <w:sz w:val="26"/>
          <w:szCs w:val="26"/>
          <w:vertAlign w:val="superscript"/>
        </w:rPr>
        <w:footnoteReference w:id="2"/>
      </w:r>
    </w:p>
    <w:p w:rsidR="00C72598" w:rsidRPr="00B87BD5" w:rsidRDefault="00C72598" w:rsidP="00C72598">
      <w:pPr>
        <w:pStyle w:val="04-PargrafodetextoEstudoNotas-CLG"/>
        <w:spacing w:line="240" w:lineRule="auto"/>
        <w:rPr>
          <w:sz w:val="26"/>
          <w:szCs w:val="26"/>
        </w:rPr>
      </w:pPr>
      <w:r w:rsidRPr="00B87BD5">
        <w:rPr>
          <w:sz w:val="26"/>
          <w:szCs w:val="26"/>
        </w:rPr>
        <w:t>No âmbito da legislação criada pelo Império</w:t>
      </w:r>
      <w:r>
        <w:rPr>
          <w:sz w:val="26"/>
          <w:szCs w:val="26"/>
        </w:rPr>
        <w:t xml:space="preserve">, notadamente o Decreto </w:t>
      </w:r>
      <w:r w:rsidRPr="00B87BD5">
        <w:rPr>
          <w:sz w:val="26"/>
          <w:szCs w:val="26"/>
        </w:rPr>
        <w:t xml:space="preserve">nº 641, de </w:t>
      </w:r>
      <w:r>
        <w:rPr>
          <w:sz w:val="26"/>
          <w:szCs w:val="26"/>
        </w:rPr>
        <w:t xml:space="preserve">26 de junho de </w:t>
      </w:r>
      <w:r w:rsidRPr="00B87BD5">
        <w:rPr>
          <w:sz w:val="26"/>
          <w:szCs w:val="26"/>
        </w:rPr>
        <w:t>1852,</w:t>
      </w:r>
      <w:r>
        <w:rPr>
          <w:sz w:val="26"/>
          <w:szCs w:val="26"/>
        </w:rPr>
        <w:t xml:space="preserve"> que </w:t>
      </w:r>
      <w:r w:rsidRPr="00B87BD5">
        <w:rPr>
          <w:sz w:val="26"/>
          <w:szCs w:val="26"/>
        </w:rPr>
        <w:t>autorizava a concessão de estrada</w:t>
      </w:r>
      <w:r>
        <w:rPr>
          <w:sz w:val="26"/>
          <w:szCs w:val="26"/>
        </w:rPr>
        <w:t>s</w:t>
      </w:r>
      <w:r w:rsidRPr="00B87BD5">
        <w:rPr>
          <w:sz w:val="26"/>
          <w:szCs w:val="26"/>
        </w:rPr>
        <w:t xml:space="preserve"> de ferro que ligasse</w:t>
      </w:r>
      <w:r>
        <w:rPr>
          <w:sz w:val="26"/>
          <w:szCs w:val="26"/>
        </w:rPr>
        <w:t>m</w:t>
      </w:r>
      <w:r w:rsidRPr="00B87BD5">
        <w:rPr>
          <w:sz w:val="26"/>
          <w:szCs w:val="26"/>
        </w:rPr>
        <w:t xml:space="preserve"> a capital do Império, Rio de Janeiro, às províncias de Minas Gerais</w:t>
      </w:r>
      <w:r>
        <w:rPr>
          <w:sz w:val="26"/>
          <w:szCs w:val="26"/>
        </w:rPr>
        <w:t xml:space="preserve"> e São Paulo,</w:t>
      </w:r>
      <w:r w:rsidRPr="00B87BD5">
        <w:rPr>
          <w:sz w:val="26"/>
          <w:szCs w:val="26"/>
        </w:rPr>
        <w:t xml:space="preserve"> foram construídos cerca de 9.538</w:t>
      </w:r>
      <w:r w:rsidR="00BB43EB">
        <w:rPr>
          <w:sz w:val="26"/>
          <w:szCs w:val="26"/>
        </w:rPr>
        <w:t xml:space="preserve"> </w:t>
      </w:r>
      <w:r w:rsidRPr="00B87BD5">
        <w:rPr>
          <w:sz w:val="26"/>
          <w:szCs w:val="26"/>
        </w:rPr>
        <w:t xml:space="preserve">km de linhas férreas, entre 1854 e 1889. </w:t>
      </w:r>
      <w:r>
        <w:rPr>
          <w:sz w:val="26"/>
          <w:szCs w:val="26"/>
        </w:rPr>
        <w:t>O Decreto</w:t>
      </w:r>
      <w:r w:rsidRPr="00B87BD5">
        <w:rPr>
          <w:sz w:val="26"/>
          <w:szCs w:val="26"/>
        </w:rPr>
        <w:t xml:space="preserve"> nº 641, de 1852, aperfeiçoou o Decreto nº 101,</w:t>
      </w:r>
      <w:r>
        <w:rPr>
          <w:sz w:val="26"/>
          <w:szCs w:val="26"/>
        </w:rPr>
        <w:t xml:space="preserve"> </w:t>
      </w:r>
      <w:r w:rsidRPr="00B87BD5">
        <w:rPr>
          <w:sz w:val="26"/>
          <w:szCs w:val="26"/>
        </w:rPr>
        <w:t>de 1835</w:t>
      </w:r>
      <w:r>
        <w:rPr>
          <w:sz w:val="26"/>
          <w:szCs w:val="26"/>
        </w:rPr>
        <w:t>, pois, e</w:t>
      </w:r>
      <w:r w:rsidRPr="00B87BD5">
        <w:rPr>
          <w:sz w:val="26"/>
          <w:szCs w:val="26"/>
        </w:rPr>
        <w:t xml:space="preserve">stendia o privilégio para o construtor de 40 para 90 anos. Os preços de serviço de transporte eram regulados pelo </w:t>
      </w:r>
      <w:r w:rsidR="004E6989">
        <w:rPr>
          <w:sz w:val="26"/>
          <w:szCs w:val="26"/>
        </w:rPr>
        <w:t>G</w:t>
      </w:r>
      <w:r w:rsidRPr="00B87BD5">
        <w:rPr>
          <w:sz w:val="26"/>
          <w:szCs w:val="26"/>
        </w:rPr>
        <w:t>overno, mas, em contrapartida, eram oferecidas isenções tributárias, desapropriações e cessão gratuita de terrenos. O texto garantia um juro de 5% do capital empregado na construção da linha.</w:t>
      </w:r>
      <w:r w:rsidRPr="00B87BD5">
        <w:rPr>
          <w:sz w:val="26"/>
          <w:szCs w:val="26"/>
          <w:vertAlign w:val="superscript"/>
        </w:rPr>
        <w:footnoteReference w:id="3"/>
      </w:r>
      <w:r>
        <w:rPr>
          <w:sz w:val="26"/>
          <w:szCs w:val="26"/>
        </w:rPr>
        <w:t xml:space="preserve"> </w:t>
      </w:r>
    </w:p>
    <w:p w:rsidR="00C72598" w:rsidRDefault="00C72598" w:rsidP="00C72598">
      <w:pPr>
        <w:pStyle w:val="04-PargrafodetextoEstudoNotas-CLG"/>
        <w:spacing w:line="240" w:lineRule="auto"/>
        <w:rPr>
          <w:sz w:val="26"/>
          <w:szCs w:val="26"/>
        </w:rPr>
      </w:pPr>
      <w:r w:rsidRPr="00B87BD5">
        <w:rPr>
          <w:sz w:val="26"/>
          <w:szCs w:val="26"/>
        </w:rPr>
        <w:t>Na República, as concessões foram utilizadas em menor escala. Apenas a partir da crise fiscal havida nos anos 1990 as concessões de infraestrutura de transportes passaram a ser reutilizadas com maior destaque no planejamento do Estado, por meio do Programa Nacional de Desestatização. O Governo Itamar Franco (1992-1994), concedeu a Ponte Rio-Niterói (1994), com extensão de 13,2 km. No Governo Fernando Henrique Cardoso (1995-2002) foi editada a Lei nº 8.987, de 13 de fevereiro de 1995, que dispõe sobre o regime de concessão e permissão da prestação de serviços públicos previsto no art. 175 da Constituição Federal. O Governo FHC concedeu cinco rodovias, na chamada 1ª etapa de concessões, com um total de 1</w:t>
      </w:r>
      <w:r>
        <w:rPr>
          <w:sz w:val="26"/>
          <w:szCs w:val="26"/>
        </w:rPr>
        <w:t>.</w:t>
      </w:r>
      <w:r w:rsidRPr="00B87BD5">
        <w:rPr>
          <w:sz w:val="26"/>
          <w:szCs w:val="26"/>
        </w:rPr>
        <w:t>302,7 km, e sete ferrovias, com um total de 25.599</w:t>
      </w:r>
      <w:r w:rsidR="001837CC">
        <w:rPr>
          <w:sz w:val="26"/>
          <w:szCs w:val="26"/>
        </w:rPr>
        <w:t> </w:t>
      </w:r>
      <w:r w:rsidRPr="00B87BD5">
        <w:rPr>
          <w:sz w:val="26"/>
          <w:szCs w:val="26"/>
        </w:rPr>
        <w:t>km, ficando de fora apenas as linhas exploradas pela Companhia Vale do Rio Doce</w:t>
      </w:r>
      <w:r w:rsidR="00D90DDE">
        <w:rPr>
          <w:sz w:val="26"/>
          <w:szCs w:val="26"/>
        </w:rPr>
        <w:t>:</w:t>
      </w:r>
      <w:r w:rsidRPr="00B87BD5">
        <w:rPr>
          <w:sz w:val="26"/>
          <w:szCs w:val="26"/>
        </w:rPr>
        <w:t xml:space="preserve"> Estrada de Ferro Carajás e Estrada de Ferro Vitória a Minas.</w:t>
      </w:r>
    </w:p>
    <w:p w:rsidR="00C72598" w:rsidRDefault="00C72598" w:rsidP="00C72598">
      <w:pPr>
        <w:pStyle w:val="04-PargrafodetextoEstudoNotas-CLG"/>
        <w:spacing w:line="240" w:lineRule="auto"/>
        <w:rPr>
          <w:sz w:val="26"/>
          <w:szCs w:val="26"/>
        </w:rPr>
      </w:pPr>
      <w:r>
        <w:rPr>
          <w:sz w:val="26"/>
          <w:szCs w:val="26"/>
        </w:rPr>
        <w:t>Ainda no Governo FHC, foi editada a Lei nº 10.233, de 5 de junho de 2001</w:t>
      </w:r>
      <w:r w:rsidRPr="000476A7">
        <w:rPr>
          <w:sz w:val="26"/>
          <w:szCs w:val="26"/>
        </w:rPr>
        <w:t>, que “</w:t>
      </w:r>
      <w:r w:rsidRPr="00A123ED">
        <w:rPr>
          <w:i/>
          <w:sz w:val="26"/>
          <w:szCs w:val="26"/>
        </w:rPr>
        <w:t>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w:t>
      </w:r>
      <w:r w:rsidRPr="000476A7">
        <w:rPr>
          <w:sz w:val="26"/>
          <w:szCs w:val="26"/>
        </w:rPr>
        <w:t>”</w:t>
      </w:r>
      <w:r>
        <w:rPr>
          <w:sz w:val="26"/>
          <w:szCs w:val="26"/>
        </w:rPr>
        <w:t>. A Lei nº 10.233, de 2001 marca o processo de descentralização da administração e gestão da política de transportes, com a segregação das competências do Ministério dos Tranportes com as Agências Reguladoras do setor, ANTT e Antaq, e com o CONIT.</w:t>
      </w:r>
    </w:p>
    <w:p w:rsidR="00C72598" w:rsidRDefault="00C72598" w:rsidP="00C72598">
      <w:pPr>
        <w:pStyle w:val="04-PargrafodetextoEstudoNotas-CLG"/>
        <w:spacing w:line="240" w:lineRule="auto"/>
        <w:rPr>
          <w:sz w:val="26"/>
          <w:szCs w:val="26"/>
        </w:rPr>
      </w:pPr>
      <w:r>
        <w:rPr>
          <w:sz w:val="26"/>
          <w:szCs w:val="26"/>
        </w:rPr>
        <w:t>O Governo Lula (2003 – 2010) continuou a mesma política de desconcentração da gestão na área de Transportes, pois, em 2005, criou a ANAC, segregando do Ministério da Defesa a administração da aviação civil e em 2007 criou a Secretaria Especial de Portos, segregando do Ministério dos Transportes a administração portuária. É dessa época, no primeiro ano do segundo mandato, que surgem o PNLT, o Programa de Aceleração do Crescimento (PAC) e a 2ª etapa de concessões rodoviárias, com um total de sete lotes para exploração de 2.600,8 km de rodovias, e com priorização do princípio da modicidade tarifária.</w:t>
      </w:r>
    </w:p>
    <w:p w:rsidR="001837CC" w:rsidRDefault="001837CC" w:rsidP="00BD7C20">
      <w:pPr>
        <w:spacing w:after="360"/>
        <w:ind w:firstLine="1418"/>
        <w:jc w:val="both"/>
        <w:rPr>
          <w:iCs/>
          <w:sz w:val="26"/>
          <w:szCs w:val="26"/>
        </w:rPr>
      </w:pPr>
    </w:p>
    <w:p w:rsidR="00BD7C20" w:rsidRDefault="00363358" w:rsidP="00BD7C20">
      <w:pPr>
        <w:spacing w:after="360"/>
        <w:ind w:firstLine="1418"/>
        <w:jc w:val="both"/>
        <w:rPr>
          <w:iCs/>
          <w:sz w:val="26"/>
          <w:szCs w:val="26"/>
        </w:rPr>
      </w:pPr>
      <w:r>
        <w:rPr>
          <w:iCs/>
          <w:sz w:val="26"/>
          <w:szCs w:val="26"/>
        </w:rPr>
        <w:t>No Governo Dilma</w:t>
      </w:r>
      <w:r w:rsidR="00302002">
        <w:rPr>
          <w:iCs/>
          <w:sz w:val="26"/>
          <w:szCs w:val="26"/>
        </w:rPr>
        <w:t xml:space="preserve"> (2011-2018</w:t>
      </w:r>
      <w:r>
        <w:rPr>
          <w:iCs/>
          <w:sz w:val="26"/>
          <w:szCs w:val="26"/>
        </w:rPr>
        <w:t>), o</w:t>
      </w:r>
      <w:r w:rsidR="00BD7C20">
        <w:rPr>
          <w:iCs/>
          <w:sz w:val="26"/>
          <w:szCs w:val="26"/>
        </w:rPr>
        <w:t xml:space="preserve"> Ministério dos Transportes elaborou em 2012, o </w:t>
      </w:r>
      <w:r w:rsidR="00BD7C20" w:rsidRPr="00C72598">
        <w:rPr>
          <w:iCs/>
          <w:sz w:val="26"/>
          <w:szCs w:val="26"/>
        </w:rPr>
        <w:t xml:space="preserve">Plano Hidroviário Estratégico (PHE) </w:t>
      </w:r>
      <w:r w:rsidR="00BD7C20">
        <w:rPr>
          <w:iCs/>
          <w:sz w:val="26"/>
          <w:szCs w:val="26"/>
        </w:rPr>
        <w:t>qu</w:t>
      </w:r>
      <w:r w:rsidR="00BD7C20" w:rsidRPr="00C72598">
        <w:rPr>
          <w:iCs/>
          <w:sz w:val="26"/>
          <w:szCs w:val="26"/>
        </w:rPr>
        <w:t>e apresenta</w:t>
      </w:r>
      <w:r w:rsidR="00BD7C20">
        <w:rPr>
          <w:iCs/>
          <w:sz w:val="26"/>
          <w:szCs w:val="26"/>
        </w:rPr>
        <w:t>va</w:t>
      </w:r>
      <w:r w:rsidR="00BD7C20" w:rsidRPr="00C72598">
        <w:rPr>
          <w:iCs/>
          <w:sz w:val="26"/>
          <w:szCs w:val="26"/>
        </w:rPr>
        <w:t xml:space="preserve"> um ponto de partida para o desenvolvimento do </w:t>
      </w:r>
      <w:r w:rsidR="00BD7C20">
        <w:rPr>
          <w:iCs/>
          <w:sz w:val="26"/>
          <w:szCs w:val="26"/>
        </w:rPr>
        <w:t>Transporte Hidroviário Interior</w:t>
      </w:r>
      <w:r w:rsidR="00BD7C20" w:rsidRPr="00C72598">
        <w:rPr>
          <w:iCs/>
          <w:sz w:val="26"/>
          <w:szCs w:val="26"/>
        </w:rPr>
        <w:t xml:space="preserve"> no Brasil. A análise dos elementos do transporte hidroviário brasileiro foi realizada através de pesquisas de dados secundários (na fase de avaliação e diagnóstico) e entrevistas com as partes interessadas (na fase de consultas aos interessados). O proc</w:t>
      </w:r>
      <w:r w:rsidR="00BD7C20">
        <w:rPr>
          <w:iCs/>
          <w:sz w:val="26"/>
          <w:szCs w:val="26"/>
        </w:rPr>
        <w:t xml:space="preserve">esso de implantação deste Plano trazia como objetivo fornecer </w:t>
      </w:r>
      <w:r w:rsidR="00BD7C20" w:rsidRPr="00C72598">
        <w:rPr>
          <w:iCs/>
          <w:sz w:val="26"/>
          <w:szCs w:val="26"/>
        </w:rPr>
        <w:t>a confirmação e detalhamento das recomendações apresentadas</w:t>
      </w:r>
      <w:r w:rsidR="00BD7C20">
        <w:rPr>
          <w:iCs/>
          <w:sz w:val="26"/>
          <w:szCs w:val="26"/>
        </w:rPr>
        <w:t xml:space="preserve">. </w:t>
      </w:r>
    </w:p>
    <w:p w:rsidR="00B306C3" w:rsidRPr="00302002" w:rsidRDefault="00B306C3" w:rsidP="00BD7C20">
      <w:pPr>
        <w:spacing w:after="360"/>
        <w:ind w:firstLine="1418"/>
        <w:jc w:val="both"/>
        <w:rPr>
          <w:iCs/>
          <w:sz w:val="26"/>
          <w:szCs w:val="26"/>
        </w:rPr>
      </w:pPr>
      <w:r w:rsidRPr="00302002">
        <w:rPr>
          <w:iCs/>
          <w:sz w:val="26"/>
          <w:szCs w:val="26"/>
        </w:rPr>
        <w:t xml:space="preserve">A proposta era de que o PHE </w:t>
      </w:r>
      <w:r w:rsidRPr="00302002">
        <w:rPr>
          <w:sz w:val="26"/>
          <w:szCs w:val="26"/>
        </w:rPr>
        <w:t>Hidroviário fosse desenvolvido para o mesmo horizonte de planejamento e com base nos mesmos dados de referência e projeções que os considerados no PNLT: curto prazo (2015), médio prazo (2019) e longo prazo (2023, 2027 e 2031).</w:t>
      </w:r>
    </w:p>
    <w:p w:rsidR="00C72598" w:rsidRDefault="004F6365" w:rsidP="00C72598">
      <w:pPr>
        <w:spacing w:after="360"/>
        <w:ind w:firstLine="1418"/>
        <w:jc w:val="both"/>
        <w:rPr>
          <w:iCs/>
          <w:sz w:val="26"/>
          <w:szCs w:val="26"/>
        </w:rPr>
      </w:pPr>
      <w:r>
        <w:rPr>
          <w:iCs/>
          <w:sz w:val="26"/>
          <w:szCs w:val="26"/>
        </w:rPr>
        <w:t xml:space="preserve">No ano seguinte, em </w:t>
      </w:r>
      <w:r w:rsidRPr="00C72598">
        <w:rPr>
          <w:iCs/>
          <w:sz w:val="26"/>
          <w:szCs w:val="26"/>
        </w:rPr>
        <w:t>19 de fevereiro de 2013</w:t>
      </w:r>
      <w:r>
        <w:rPr>
          <w:iCs/>
          <w:sz w:val="26"/>
          <w:szCs w:val="26"/>
        </w:rPr>
        <w:t xml:space="preserve">, foi lançado o </w:t>
      </w:r>
      <w:r w:rsidR="00C72598" w:rsidRPr="00C72598">
        <w:rPr>
          <w:iCs/>
          <w:sz w:val="26"/>
          <w:szCs w:val="26"/>
        </w:rPr>
        <w:t>Plano Nacional de Integração Hidroviária (PNIH)</w:t>
      </w:r>
      <w:r>
        <w:rPr>
          <w:iCs/>
          <w:sz w:val="26"/>
          <w:szCs w:val="26"/>
        </w:rPr>
        <w:t>,</w:t>
      </w:r>
      <w:r w:rsidR="00C72598" w:rsidRPr="00C72598">
        <w:rPr>
          <w:iCs/>
          <w:sz w:val="26"/>
          <w:szCs w:val="26"/>
        </w:rPr>
        <w:t xml:space="preserve"> concebido pela Agência Nacional de Transportes Aquaviários (ANTAQ) visando a dois objetivos centrais: um estudo detalhado sobre as hidrovias brasileiras e a indicação de áreas propícias para instalações portuárias. Para atingir ao primeiro objetivo, idealizou-se o projeto intitulado “Desenvolvimento de Estudos e Análises das Hidrovias Brasileiras e suas Instalações Portuárias com Implantação de Base de Dados Georreferenciada e Sistemas de Informações Geográficas”.</w:t>
      </w:r>
    </w:p>
    <w:p w:rsidR="00363358" w:rsidRDefault="00363358" w:rsidP="00C72598">
      <w:pPr>
        <w:spacing w:after="360"/>
        <w:ind w:firstLine="1418"/>
        <w:jc w:val="both"/>
        <w:rPr>
          <w:iCs/>
          <w:sz w:val="26"/>
          <w:szCs w:val="26"/>
        </w:rPr>
      </w:pPr>
      <w:r>
        <w:rPr>
          <w:iCs/>
          <w:sz w:val="26"/>
          <w:szCs w:val="26"/>
        </w:rPr>
        <w:t>O Governo Dilma também é marcado pela criação da EPL e por  maior abertura ao Mercado da exploração de rodovias, aeroportos e terminais portuários de uso privado, que compuseram os Planos de Investimento em Logística, nem todos ainda em execução.</w:t>
      </w:r>
    </w:p>
    <w:p w:rsidR="001837CC" w:rsidRPr="000476A7" w:rsidRDefault="001837CC" w:rsidP="001837CC">
      <w:pPr>
        <w:pStyle w:val="04-PargrafodetextoEstudoNotas-CLG"/>
        <w:spacing w:line="240" w:lineRule="auto"/>
        <w:rPr>
          <w:sz w:val="26"/>
          <w:szCs w:val="26"/>
        </w:rPr>
      </w:pPr>
      <w:r>
        <w:rPr>
          <w:sz w:val="26"/>
          <w:szCs w:val="26"/>
        </w:rPr>
        <w:t>Uma síntese das principais ações legislativas ou executivas tomadas pelo Governo Federal desde 2001, pode ser observada na Tabela 2, a seguir:</w:t>
      </w:r>
    </w:p>
    <w:p w:rsidR="001837CC" w:rsidRDefault="001837CC" w:rsidP="001837CC">
      <w:pPr>
        <w:pStyle w:val="04-PargrafodetextoEstudoNotas-CLG"/>
        <w:spacing w:line="240" w:lineRule="auto"/>
        <w:ind w:firstLine="0"/>
        <w:rPr>
          <w:sz w:val="26"/>
          <w:szCs w:val="26"/>
        </w:rPr>
        <w:sectPr w:rsidR="001837CC" w:rsidSect="00140205">
          <w:pgSz w:w="11907" w:h="16840" w:code="9"/>
          <w:pgMar w:top="1985" w:right="1418" w:bottom="1418" w:left="1701" w:header="709" w:footer="709" w:gutter="0"/>
          <w:cols w:space="720"/>
          <w:titlePg/>
          <w:docGrid w:linePitch="326"/>
        </w:sectPr>
      </w:pPr>
    </w:p>
    <w:p w:rsidR="001837CC" w:rsidRDefault="001837CC" w:rsidP="001837CC">
      <w:pPr>
        <w:pStyle w:val="04-PargrafodetextoEstudoNotas-CLG"/>
        <w:spacing w:line="240" w:lineRule="auto"/>
        <w:ind w:firstLine="0"/>
        <w:rPr>
          <w:sz w:val="26"/>
          <w:szCs w:val="26"/>
        </w:rPr>
      </w:pPr>
    </w:p>
    <w:p w:rsidR="001837CC" w:rsidRDefault="001837CC" w:rsidP="001837CC">
      <w:pPr>
        <w:pStyle w:val="Legenda"/>
        <w:keepNext/>
      </w:pPr>
      <w:r>
        <w:t xml:space="preserve">Tabela </w:t>
      </w:r>
      <w:fldSimple w:instr=" SEQ Tabela \* ARABIC ">
        <w:r w:rsidR="00780B83">
          <w:rPr>
            <w:noProof/>
          </w:rPr>
          <w:t>2</w:t>
        </w:r>
      </w:fldSimple>
      <w:r>
        <w:t xml:space="preserve"> - Cronologia de Ações Estruturadoras em Transportes</w:t>
      </w:r>
    </w:p>
    <w:tbl>
      <w:tblPr>
        <w:tblW w:w="142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86"/>
        <w:gridCol w:w="868"/>
        <w:gridCol w:w="868"/>
        <w:gridCol w:w="868"/>
        <w:gridCol w:w="884"/>
        <w:gridCol w:w="868"/>
        <w:gridCol w:w="922"/>
        <w:gridCol w:w="868"/>
        <w:gridCol w:w="883"/>
        <w:gridCol w:w="868"/>
        <w:gridCol w:w="883"/>
        <w:gridCol w:w="1050"/>
        <w:gridCol w:w="922"/>
        <w:gridCol w:w="922"/>
        <w:gridCol w:w="869"/>
      </w:tblGrid>
      <w:tr w:rsidR="001837CC" w:rsidRPr="00A67B19" w:rsidTr="00172810">
        <w:tc>
          <w:tcPr>
            <w:tcW w:w="825" w:type="dxa"/>
          </w:tcPr>
          <w:p w:rsidR="001837CC" w:rsidRPr="00A67B19" w:rsidRDefault="001837CC" w:rsidP="00172810">
            <w:pPr>
              <w:pStyle w:val="04-PargrafodetextoEstudoNotas-CLG"/>
              <w:spacing w:after="0" w:line="240" w:lineRule="auto"/>
              <w:ind w:firstLine="0"/>
              <w:jc w:val="center"/>
              <w:rPr>
                <w:sz w:val="20"/>
              </w:rPr>
            </w:pPr>
            <w:r>
              <w:rPr>
                <w:sz w:val="20"/>
              </w:rPr>
              <w:t>Ano</w:t>
            </w:r>
          </w:p>
        </w:tc>
        <w:tc>
          <w:tcPr>
            <w:tcW w:w="886"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2001</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2002</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2003</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2004</w:t>
            </w:r>
          </w:p>
        </w:tc>
        <w:tc>
          <w:tcPr>
            <w:tcW w:w="884"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2005</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2006</w:t>
            </w: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2007</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2008</w:t>
            </w: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2009</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2010</w:t>
            </w: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2011</w:t>
            </w:r>
          </w:p>
        </w:tc>
        <w:tc>
          <w:tcPr>
            <w:tcW w:w="1050"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2012</w:t>
            </w: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2013</w:t>
            </w: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2014</w:t>
            </w:r>
          </w:p>
        </w:tc>
        <w:tc>
          <w:tcPr>
            <w:tcW w:w="869"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2015</w:t>
            </w:r>
          </w:p>
        </w:tc>
      </w:tr>
      <w:tr w:rsidR="001837CC" w:rsidRPr="00A67B19" w:rsidTr="00172810">
        <w:trPr>
          <w:cantSplit/>
          <w:trHeight w:val="1488"/>
        </w:trPr>
        <w:tc>
          <w:tcPr>
            <w:tcW w:w="825"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Legislação</w:t>
            </w:r>
          </w:p>
        </w:tc>
        <w:tc>
          <w:tcPr>
            <w:tcW w:w="886"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sidRPr="00A67B19">
              <w:rPr>
                <w:sz w:val="20"/>
              </w:rPr>
              <w:t>Lei nº10.233</w:t>
            </w:r>
            <w:r>
              <w:rPr>
                <w:sz w:val="20"/>
              </w:rPr>
              <w:t xml:space="preserve"> – Lei das Agências</w:t>
            </w: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Lei nº 11.079 – Lei das PPP</w:t>
            </w:r>
          </w:p>
        </w:tc>
        <w:tc>
          <w:tcPr>
            <w:tcW w:w="884"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Lei nº 11.182 – Lei ANAC</w:t>
            </w: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922"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 xml:space="preserve">Lei nº 11.518 –  Lei SEP </w:t>
            </w: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883"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868"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p>
        </w:tc>
        <w:tc>
          <w:tcPr>
            <w:tcW w:w="883"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Lei nº 12.462 – Lei RDC</w:t>
            </w:r>
          </w:p>
        </w:tc>
        <w:tc>
          <w:tcPr>
            <w:tcW w:w="1050"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Lei nº 12.743 – Lei EPL</w:t>
            </w:r>
          </w:p>
        </w:tc>
        <w:tc>
          <w:tcPr>
            <w:tcW w:w="922" w:type="dxa"/>
            <w:textDirection w:val="btLr"/>
            <w:vAlign w:val="center"/>
          </w:tcPr>
          <w:p w:rsidR="001837CC" w:rsidRPr="00A67B19" w:rsidRDefault="001837CC" w:rsidP="00172810">
            <w:pPr>
              <w:pStyle w:val="04-PargrafodetextoEstudoNotas-CLG"/>
              <w:spacing w:after="0" w:line="240" w:lineRule="auto"/>
              <w:ind w:left="113" w:right="113" w:firstLine="0"/>
              <w:jc w:val="center"/>
              <w:rPr>
                <w:sz w:val="20"/>
              </w:rPr>
            </w:pPr>
            <w:r>
              <w:rPr>
                <w:sz w:val="20"/>
              </w:rPr>
              <w:t>Lei nº 12.815 – Lei dos Portos</w:t>
            </w:r>
          </w:p>
        </w:tc>
        <w:tc>
          <w:tcPr>
            <w:tcW w:w="922" w:type="dxa"/>
            <w:textDirection w:val="btLr"/>
          </w:tcPr>
          <w:p w:rsidR="001837CC" w:rsidRPr="00A67B19" w:rsidRDefault="001837CC" w:rsidP="00172810">
            <w:pPr>
              <w:pStyle w:val="04-PargrafodetextoEstudoNotas-CLG"/>
              <w:spacing w:after="0" w:line="240" w:lineRule="auto"/>
              <w:ind w:left="113" w:right="113" w:firstLine="0"/>
              <w:rPr>
                <w:sz w:val="20"/>
              </w:rPr>
            </w:pPr>
          </w:p>
        </w:tc>
        <w:tc>
          <w:tcPr>
            <w:tcW w:w="869" w:type="dxa"/>
            <w:textDirection w:val="btLr"/>
          </w:tcPr>
          <w:p w:rsidR="001837CC" w:rsidRPr="00A67B19" w:rsidRDefault="001837CC" w:rsidP="00172810">
            <w:pPr>
              <w:pStyle w:val="04-PargrafodetextoEstudoNotas-CLG"/>
              <w:spacing w:after="0" w:line="240" w:lineRule="auto"/>
              <w:ind w:left="113" w:right="113" w:firstLine="0"/>
              <w:rPr>
                <w:sz w:val="20"/>
              </w:rPr>
            </w:pPr>
            <w:r>
              <w:rPr>
                <w:sz w:val="20"/>
              </w:rPr>
              <w:t>Decreto nº 8.428 - PMI</w:t>
            </w:r>
          </w:p>
        </w:tc>
      </w:tr>
      <w:tr w:rsidR="001837CC" w:rsidRPr="00A67B19" w:rsidTr="00172810">
        <w:trPr>
          <w:cantSplit/>
          <w:trHeight w:val="995"/>
        </w:trPr>
        <w:tc>
          <w:tcPr>
            <w:tcW w:w="825"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Órgãos</w:t>
            </w:r>
          </w:p>
        </w:tc>
        <w:tc>
          <w:tcPr>
            <w:tcW w:w="886" w:type="dxa"/>
            <w:vAlign w:val="center"/>
          </w:tcPr>
          <w:p w:rsidR="001837CC" w:rsidRPr="00A67B19" w:rsidRDefault="001837CC" w:rsidP="00172810">
            <w:pPr>
              <w:pStyle w:val="04-PargrafodetextoEstudoNotas-CLG"/>
              <w:spacing w:after="0" w:line="240" w:lineRule="auto"/>
              <w:ind w:firstLine="0"/>
              <w:jc w:val="center"/>
              <w:rPr>
                <w:sz w:val="20"/>
              </w:rPr>
            </w:pPr>
            <w:r w:rsidRPr="00A67B19">
              <w:rPr>
                <w:sz w:val="20"/>
              </w:rPr>
              <w:t>Conit, DNIT, ANTT, Antaq</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4"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ANAC</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SEP</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SAC</w:t>
            </w:r>
          </w:p>
        </w:tc>
        <w:tc>
          <w:tcPr>
            <w:tcW w:w="1050"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EPL</w:t>
            </w: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9" w:type="dxa"/>
            <w:vAlign w:val="center"/>
          </w:tcPr>
          <w:p w:rsidR="001837CC" w:rsidRPr="00A67B19" w:rsidRDefault="001837CC" w:rsidP="00172810">
            <w:pPr>
              <w:pStyle w:val="04-PargrafodetextoEstudoNotas-CLG"/>
              <w:spacing w:after="0" w:line="240" w:lineRule="auto"/>
              <w:ind w:firstLine="0"/>
              <w:jc w:val="center"/>
              <w:rPr>
                <w:sz w:val="20"/>
              </w:rPr>
            </w:pPr>
          </w:p>
        </w:tc>
      </w:tr>
      <w:tr w:rsidR="001837CC" w:rsidRPr="00A67B19" w:rsidTr="00172810">
        <w:trPr>
          <w:cantSplit/>
          <w:trHeight w:val="1265"/>
        </w:trPr>
        <w:tc>
          <w:tcPr>
            <w:tcW w:w="825"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Planos</w:t>
            </w:r>
          </w:p>
        </w:tc>
        <w:tc>
          <w:tcPr>
            <w:tcW w:w="886"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4" w:type="dxa"/>
            <w:vAlign w:val="center"/>
          </w:tcPr>
          <w:p w:rsidR="001837CC"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PNLT, v.1</w:t>
            </w:r>
          </w:p>
          <w:p w:rsidR="001837CC" w:rsidRPr="00A67B19" w:rsidRDefault="001837CC" w:rsidP="00172810">
            <w:pPr>
              <w:pStyle w:val="04-PargrafodetextoEstudoNotas-CLG"/>
              <w:spacing w:after="0" w:line="240" w:lineRule="auto"/>
              <w:ind w:firstLine="0"/>
              <w:jc w:val="center"/>
              <w:rPr>
                <w:sz w:val="20"/>
              </w:rPr>
            </w:pPr>
            <w:r>
              <w:rPr>
                <w:sz w:val="20"/>
              </w:rPr>
              <w:t>PAC, v.1</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PNLT, v.2</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PNLT, v.3 PAC,    v. 2</w:t>
            </w:r>
          </w:p>
        </w:tc>
        <w:tc>
          <w:tcPr>
            <w:tcW w:w="1050" w:type="dxa"/>
            <w:vAlign w:val="center"/>
          </w:tcPr>
          <w:p w:rsidR="001837CC" w:rsidRPr="00A67B19" w:rsidRDefault="001837CC" w:rsidP="00172810">
            <w:pPr>
              <w:pStyle w:val="04-PargrafodetextoEstudoNotas-CLG"/>
              <w:spacing w:after="0" w:line="240" w:lineRule="auto"/>
              <w:ind w:firstLine="0"/>
              <w:jc w:val="center"/>
              <w:rPr>
                <w:sz w:val="20"/>
              </w:rPr>
            </w:pPr>
            <w:r>
              <w:rPr>
                <w:sz w:val="20"/>
              </w:rPr>
              <w:t>PIL,   v.1</w:t>
            </w: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 xml:space="preserve">PNLP; </w:t>
            </w:r>
          </w:p>
          <w:p w:rsidR="001837CC" w:rsidRDefault="001837CC" w:rsidP="00172810">
            <w:pPr>
              <w:pStyle w:val="04-PargrafodetextoEstudoNotas-CLG"/>
              <w:spacing w:after="0" w:line="240" w:lineRule="auto"/>
              <w:ind w:firstLine="0"/>
              <w:jc w:val="center"/>
              <w:rPr>
                <w:sz w:val="20"/>
              </w:rPr>
            </w:pPr>
            <w:r>
              <w:rPr>
                <w:sz w:val="20"/>
              </w:rPr>
              <w:t>PNIH;</w:t>
            </w:r>
          </w:p>
          <w:p w:rsidR="001837CC" w:rsidRPr="00A67B19" w:rsidRDefault="001837CC" w:rsidP="00172810">
            <w:pPr>
              <w:pStyle w:val="04-PargrafodetextoEstudoNotas-CLG"/>
              <w:spacing w:after="0" w:line="240" w:lineRule="auto"/>
              <w:ind w:firstLine="0"/>
              <w:jc w:val="center"/>
              <w:rPr>
                <w:sz w:val="20"/>
              </w:rPr>
            </w:pPr>
            <w:r>
              <w:rPr>
                <w:sz w:val="20"/>
              </w:rPr>
              <w:t>PHE;</w:t>
            </w:r>
          </w:p>
        </w:tc>
        <w:tc>
          <w:tcPr>
            <w:tcW w:w="922"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9" w:type="dxa"/>
            <w:vAlign w:val="center"/>
          </w:tcPr>
          <w:p w:rsidR="001837CC" w:rsidRDefault="001837CC" w:rsidP="00172810">
            <w:pPr>
              <w:pStyle w:val="04-PargrafodetextoEstudoNotas-CLG"/>
              <w:spacing w:after="0" w:line="240" w:lineRule="auto"/>
              <w:ind w:firstLine="0"/>
              <w:jc w:val="center"/>
              <w:rPr>
                <w:sz w:val="20"/>
              </w:rPr>
            </w:pPr>
            <w:r>
              <w:rPr>
                <w:sz w:val="20"/>
              </w:rPr>
              <w:t xml:space="preserve">PIL,  </w:t>
            </w:r>
          </w:p>
          <w:p w:rsidR="001837CC" w:rsidRPr="00A67B19" w:rsidRDefault="001837CC" w:rsidP="00172810">
            <w:pPr>
              <w:pStyle w:val="04-PargrafodetextoEstudoNotas-CLG"/>
              <w:spacing w:after="0" w:line="240" w:lineRule="auto"/>
              <w:ind w:firstLine="0"/>
              <w:jc w:val="center"/>
              <w:rPr>
                <w:sz w:val="20"/>
              </w:rPr>
            </w:pPr>
            <w:r>
              <w:rPr>
                <w:sz w:val="20"/>
              </w:rPr>
              <w:t>v.2</w:t>
            </w:r>
          </w:p>
        </w:tc>
      </w:tr>
      <w:tr w:rsidR="001837CC" w:rsidRPr="00A67B19" w:rsidTr="00172810">
        <w:trPr>
          <w:cantSplit/>
          <w:trHeight w:val="1265"/>
        </w:trPr>
        <w:tc>
          <w:tcPr>
            <w:tcW w:w="825" w:type="dxa"/>
            <w:textDirection w:val="btLr"/>
            <w:vAlign w:val="center"/>
          </w:tcPr>
          <w:p w:rsidR="001837CC" w:rsidRDefault="001837CC" w:rsidP="00172810">
            <w:pPr>
              <w:pStyle w:val="04-PargrafodetextoEstudoNotas-CLG"/>
              <w:spacing w:after="0" w:line="240" w:lineRule="auto"/>
              <w:ind w:left="113" w:right="113" w:firstLine="0"/>
              <w:jc w:val="center"/>
              <w:rPr>
                <w:sz w:val="20"/>
              </w:rPr>
            </w:pPr>
            <w:r>
              <w:rPr>
                <w:sz w:val="20"/>
              </w:rPr>
              <w:t>Concessões Rodoviárias</w:t>
            </w:r>
          </w:p>
        </w:tc>
        <w:tc>
          <w:tcPr>
            <w:tcW w:w="886"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4" w:type="dxa"/>
            <w:vAlign w:val="center"/>
          </w:tcPr>
          <w:p w:rsidR="001837CC"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2ª Etapa, Fase I,  7 lotes,</w:t>
            </w:r>
          </w:p>
          <w:p w:rsidR="001837CC" w:rsidRDefault="001837CC" w:rsidP="00172810">
            <w:pPr>
              <w:pStyle w:val="04-PargrafodetextoEstudoNotas-CLG"/>
              <w:spacing w:after="0" w:line="240" w:lineRule="auto"/>
              <w:ind w:firstLine="0"/>
              <w:jc w:val="center"/>
              <w:rPr>
                <w:sz w:val="20"/>
              </w:rPr>
            </w:pPr>
            <w:r>
              <w:rPr>
                <w:sz w:val="20"/>
              </w:rPr>
              <w:t xml:space="preserve">2.600km </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Default="001837CC" w:rsidP="00172810">
            <w:pPr>
              <w:pStyle w:val="04-PargrafodetextoEstudoNotas-CLG"/>
              <w:spacing w:after="0" w:line="240" w:lineRule="auto"/>
              <w:ind w:firstLine="0"/>
              <w:jc w:val="center"/>
              <w:rPr>
                <w:sz w:val="20"/>
              </w:rPr>
            </w:pPr>
            <w:r>
              <w:rPr>
                <w:sz w:val="20"/>
              </w:rPr>
              <w:t>2ª Etapa, Fase II,  1 lote,</w:t>
            </w:r>
          </w:p>
          <w:p w:rsidR="001837CC" w:rsidRDefault="001837CC" w:rsidP="00172810">
            <w:pPr>
              <w:pStyle w:val="04-PargrafodetextoEstudoNotas-CLG"/>
              <w:spacing w:after="0" w:line="240" w:lineRule="auto"/>
              <w:ind w:firstLine="0"/>
              <w:jc w:val="center"/>
              <w:rPr>
                <w:sz w:val="20"/>
              </w:rPr>
            </w:pPr>
            <w:r>
              <w:rPr>
                <w:sz w:val="20"/>
              </w:rPr>
              <w:t>680km</w:t>
            </w: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Default="001837CC" w:rsidP="00172810">
            <w:pPr>
              <w:pStyle w:val="04-PargrafodetextoEstudoNotas-CLG"/>
              <w:spacing w:after="0" w:line="240" w:lineRule="auto"/>
              <w:ind w:firstLine="0"/>
              <w:jc w:val="center"/>
              <w:rPr>
                <w:sz w:val="20"/>
              </w:rPr>
            </w:pPr>
          </w:p>
        </w:tc>
        <w:tc>
          <w:tcPr>
            <w:tcW w:w="1050" w:type="dxa"/>
            <w:vAlign w:val="center"/>
          </w:tcPr>
          <w:p w:rsidR="001837CC" w:rsidRDefault="001837CC" w:rsidP="00172810">
            <w:pPr>
              <w:pStyle w:val="04-PargrafodetextoEstudoNotas-CLG"/>
              <w:spacing w:after="0" w:line="240" w:lineRule="auto"/>
              <w:ind w:firstLine="0"/>
              <w:jc w:val="center"/>
              <w:rPr>
                <w:sz w:val="20"/>
              </w:rPr>
            </w:pPr>
            <w:r>
              <w:rPr>
                <w:sz w:val="20"/>
              </w:rPr>
              <w:t>3ª Etapa, Fase II,  1 lote,</w:t>
            </w:r>
          </w:p>
          <w:p w:rsidR="001837CC" w:rsidRDefault="001837CC" w:rsidP="00172810">
            <w:pPr>
              <w:pStyle w:val="04-PargrafodetextoEstudoNotas-CLG"/>
              <w:spacing w:after="0" w:line="240" w:lineRule="auto"/>
              <w:ind w:firstLine="0"/>
              <w:jc w:val="center"/>
              <w:rPr>
                <w:sz w:val="20"/>
              </w:rPr>
            </w:pPr>
            <w:r>
              <w:rPr>
                <w:sz w:val="20"/>
              </w:rPr>
              <w:t>475km</w:t>
            </w: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3ª Etapa, Fase I,  2 lotes,</w:t>
            </w:r>
          </w:p>
          <w:p w:rsidR="001837CC" w:rsidRPr="00A67B19" w:rsidRDefault="001837CC" w:rsidP="00172810">
            <w:pPr>
              <w:pStyle w:val="04-PargrafodetextoEstudoNotas-CLG"/>
              <w:spacing w:after="0" w:line="240" w:lineRule="auto"/>
              <w:ind w:firstLine="0"/>
              <w:jc w:val="center"/>
              <w:rPr>
                <w:sz w:val="20"/>
              </w:rPr>
            </w:pPr>
            <w:r>
              <w:rPr>
                <w:sz w:val="20"/>
              </w:rPr>
              <w:t>1.753km</w:t>
            </w: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3ª Etapa, Fase III,  7 lotes,</w:t>
            </w:r>
          </w:p>
          <w:p w:rsidR="001837CC" w:rsidRPr="00A67B19" w:rsidRDefault="001837CC" w:rsidP="00172810">
            <w:pPr>
              <w:pStyle w:val="04-PargrafodetextoEstudoNotas-CLG"/>
              <w:spacing w:after="0" w:line="240" w:lineRule="auto"/>
              <w:ind w:firstLine="0"/>
              <w:jc w:val="center"/>
              <w:rPr>
                <w:sz w:val="20"/>
              </w:rPr>
            </w:pPr>
            <w:r>
              <w:rPr>
                <w:sz w:val="20"/>
              </w:rPr>
              <w:t>5.211km</w:t>
            </w:r>
          </w:p>
        </w:tc>
        <w:tc>
          <w:tcPr>
            <w:tcW w:w="869" w:type="dxa"/>
            <w:vAlign w:val="center"/>
          </w:tcPr>
          <w:p w:rsidR="001837CC" w:rsidRDefault="001837CC" w:rsidP="00172810">
            <w:pPr>
              <w:pStyle w:val="04-PargrafodetextoEstudoNotas-CLG"/>
              <w:spacing w:after="0" w:line="240" w:lineRule="auto"/>
              <w:ind w:firstLine="0"/>
              <w:jc w:val="center"/>
              <w:rPr>
                <w:sz w:val="20"/>
              </w:rPr>
            </w:pPr>
          </w:p>
        </w:tc>
      </w:tr>
      <w:tr w:rsidR="001837CC" w:rsidRPr="00A67B19" w:rsidTr="00172810">
        <w:trPr>
          <w:cantSplit/>
          <w:trHeight w:val="1556"/>
        </w:trPr>
        <w:tc>
          <w:tcPr>
            <w:tcW w:w="825" w:type="dxa"/>
            <w:textDirection w:val="btLr"/>
            <w:vAlign w:val="center"/>
          </w:tcPr>
          <w:p w:rsidR="001837CC" w:rsidRDefault="001837CC" w:rsidP="00172810">
            <w:pPr>
              <w:pStyle w:val="04-PargrafodetextoEstudoNotas-CLG"/>
              <w:spacing w:after="0" w:line="240" w:lineRule="auto"/>
              <w:ind w:left="113" w:right="113" w:firstLine="0"/>
              <w:jc w:val="center"/>
              <w:rPr>
                <w:sz w:val="20"/>
              </w:rPr>
            </w:pPr>
            <w:r>
              <w:rPr>
                <w:sz w:val="20"/>
              </w:rPr>
              <w:t>Concessões  Aeroportuárias</w:t>
            </w:r>
          </w:p>
        </w:tc>
        <w:tc>
          <w:tcPr>
            <w:tcW w:w="886"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4" w:type="dxa"/>
            <w:vAlign w:val="center"/>
          </w:tcPr>
          <w:p w:rsidR="001837CC"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922" w:type="dxa"/>
            <w:vAlign w:val="center"/>
          </w:tcPr>
          <w:p w:rsidR="001837CC"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Default="001837CC" w:rsidP="00172810">
            <w:pPr>
              <w:pStyle w:val="04-PargrafodetextoEstudoNotas-CLG"/>
              <w:spacing w:after="0" w:line="240" w:lineRule="auto"/>
              <w:ind w:firstLine="0"/>
              <w:jc w:val="center"/>
              <w:rPr>
                <w:sz w:val="20"/>
              </w:rPr>
            </w:pPr>
          </w:p>
        </w:tc>
        <w:tc>
          <w:tcPr>
            <w:tcW w:w="868" w:type="dxa"/>
            <w:vAlign w:val="center"/>
          </w:tcPr>
          <w:p w:rsidR="001837CC" w:rsidRPr="00A67B19" w:rsidRDefault="001837CC" w:rsidP="00172810">
            <w:pPr>
              <w:pStyle w:val="04-PargrafodetextoEstudoNotas-CLG"/>
              <w:spacing w:after="0" w:line="240" w:lineRule="auto"/>
              <w:ind w:firstLine="0"/>
              <w:jc w:val="center"/>
              <w:rPr>
                <w:sz w:val="20"/>
              </w:rPr>
            </w:pPr>
          </w:p>
        </w:tc>
        <w:tc>
          <w:tcPr>
            <w:tcW w:w="883" w:type="dxa"/>
            <w:vAlign w:val="center"/>
          </w:tcPr>
          <w:p w:rsidR="001837CC" w:rsidRDefault="001837CC" w:rsidP="00172810">
            <w:pPr>
              <w:pStyle w:val="04-PargrafodetextoEstudoNotas-CLG"/>
              <w:spacing w:after="0" w:line="240" w:lineRule="auto"/>
              <w:ind w:firstLine="0"/>
              <w:jc w:val="center"/>
              <w:rPr>
                <w:sz w:val="20"/>
              </w:rPr>
            </w:pPr>
            <w:r>
              <w:rPr>
                <w:sz w:val="20"/>
              </w:rPr>
              <w:t>ASGA</w:t>
            </w:r>
          </w:p>
        </w:tc>
        <w:tc>
          <w:tcPr>
            <w:tcW w:w="1050" w:type="dxa"/>
            <w:vAlign w:val="center"/>
          </w:tcPr>
          <w:p w:rsidR="001837CC" w:rsidRDefault="001837CC" w:rsidP="00172810">
            <w:pPr>
              <w:pStyle w:val="04-PargrafodetextoEstudoNotas-CLG"/>
              <w:spacing w:after="0" w:line="240" w:lineRule="auto"/>
              <w:ind w:firstLine="0"/>
              <w:jc w:val="center"/>
              <w:rPr>
                <w:sz w:val="20"/>
              </w:rPr>
            </w:pPr>
            <w:r>
              <w:rPr>
                <w:sz w:val="20"/>
              </w:rPr>
              <w:t>Brasília, Guarulhos e Viracopos</w:t>
            </w:r>
          </w:p>
        </w:tc>
        <w:tc>
          <w:tcPr>
            <w:tcW w:w="922" w:type="dxa"/>
            <w:vAlign w:val="center"/>
          </w:tcPr>
          <w:p w:rsidR="001837CC" w:rsidRDefault="001837CC" w:rsidP="00172810">
            <w:pPr>
              <w:pStyle w:val="04-PargrafodetextoEstudoNotas-CLG"/>
              <w:spacing w:after="0" w:line="240" w:lineRule="auto"/>
              <w:ind w:firstLine="0"/>
              <w:jc w:val="center"/>
              <w:rPr>
                <w:sz w:val="20"/>
              </w:rPr>
            </w:pPr>
            <w:r>
              <w:rPr>
                <w:sz w:val="20"/>
              </w:rPr>
              <w:t>Rio de Janeiro e Confins</w:t>
            </w:r>
          </w:p>
        </w:tc>
        <w:tc>
          <w:tcPr>
            <w:tcW w:w="922" w:type="dxa"/>
            <w:vAlign w:val="center"/>
          </w:tcPr>
          <w:p w:rsidR="001837CC" w:rsidRDefault="001837CC" w:rsidP="00172810">
            <w:pPr>
              <w:pStyle w:val="04-PargrafodetextoEstudoNotas-CLG"/>
              <w:spacing w:after="0" w:line="240" w:lineRule="auto"/>
              <w:ind w:firstLine="0"/>
              <w:jc w:val="center"/>
              <w:rPr>
                <w:sz w:val="20"/>
              </w:rPr>
            </w:pPr>
          </w:p>
        </w:tc>
        <w:tc>
          <w:tcPr>
            <w:tcW w:w="869" w:type="dxa"/>
            <w:vAlign w:val="center"/>
          </w:tcPr>
          <w:p w:rsidR="001837CC" w:rsidRDefault="001837CC" w:rsidP="00172810">
            <w:pPr>
              <w:pStyle w:val="04-PargrafodetextoEstudoNotas-CLG"/>
              <w:spacing w:after="0" w:line="240" w:lineRule="auto"/>
              <w:ind w:firstLine="0"/>
              <w:jc w:val="center"/>
              <w:rPr>
                <w:sz w:val="20"/>
              </w:rPr>
            </w:pPr>
          </w:p>
        </w:tc>
      </w:tr>
    </w:tbl>
    <w:p w:rsidR="001837CC" w:rsidRDefault="001837CC" w:rsidP="001837CC">
      <w:pPr>
        <w:pStyle w:val="04-PargrafodetextoEstudoNotas-CLG"/>
        <w:spacing w:after="0" w:line="240" w:lineRule="auto"/>
        <w:ind w:firstLine="0"/>
        <w:rPr>
          <w:sz w:val="26"/>
          <w:szCs w:val="26"/>
        </w:rPr>
      </w:pPr>
    </w:p>
    <w:p w:rsidR="001837CC" w:rsidRDefault="001837CC" w:rsidP="001837CC">
      <w:pPr>
        <w:pStyle w:val="04-PargrafodetextoEstudoNotas-CLG"/>
        <w:spacing w:line="240" w:lineRule="auto"/>
        <w:ind w:firstLine="0"/>
        <w:rPr>
          <w:sz w:val="26"/>
          <w:szCs w:val="26"/>
        </w:rPr>
        <w:sectPr w:rsidR="001837CC" w:rsidSect="00A67B19">
          <w:pgSz w:w="16840" w:h="11907" w:orient="landscape" w:code="9"/>
          <w:pgMar w:top="1418" w:right="1418" w:bottom="1701" w:left="1985" w:header="709" w:footer="709" w:gutter="0"/>
          <w:cols w:space="720"/>
          <w:titlePg/>
          <w:docGrid w:linePitch="326"/>
        </w:sectPr>
      </w:pPr>
    </w:p>
    <w:p w:rsidR="00C72598" w:rsidRPr="000476A7" w:rsidRDefault="008E1546" w:rsidP="00C72598">
      <w:pPr>
        <w:pStyle w:val="Ttulo0"/>
        <w:rPr>
          <w:sz w:val="26"/>
          <w:szCs w:val="26"/>
        </w:rPr>
      </w:pPr>
      <w:bookmarkStart w:id="6" w:name="_Toc442974377"/>
      <w:r>
        <w:rPr>
          <w:sz w:val="26"/>
          <w:szCs w:val="26"/>
        </w:rPr>
        <w:t>3</w:t>
      </w:r>
      <w:r w:rsidR="00C72598" w:rsidRPr="000476A7">
        <w:rPr>
          <w:sz w:val="26"/>
          <w:szCs w:val="26"/>
        </w:rPr>
        <w:t xml:space="preserve">. </w:t>
      </w:r>
      <w:r w:rsidR="00C72598">
        <w:rPr>
          <w:sz w:val="26"/>
          <w:szCs w:val="26"/>
        </w:rPr>
        <w:t>Plano Nacional de Logística de Transporte</w:t>
      </w:r>
      <w:bookmarkEnd w:id="6"/>
    </w:p>
    <w:p w:rsidR="00C72598" w:rsidRPr="000476A7" w:rsidRDefault="00C72598" w:rsidP="00C72598">
      <w:pPr>
        <w:spacing w:after="360"/>
        <w:ind w:firstLine="1418"/>
        <w:jc w:val="both"/>
        <w:rPr>
          <w:iCs/>
          <w:sz w:val="26"/>
          <w:szCs w:val="26"/>
        </w:rPr>
      </w:pPr>
      <w:r w:rsidRPr="000476A7">
        <w:rPr>
          <w:iCs/>
          <w:sz w:val="26"/>
          <w:szCs w:val="26"/>
        </w:rPr>
        <w:t>O Plano Nacional de Logística de Transporte</w:t>
      </w:r>
      <w:r>
        <w:rPr>
          <w:iCs/>
          <w:sz w:val="26"/>
          <w:szCs w:val="26"/>
        </w:rPr>
        <w:t xml:space="preserve"> (PNLT)</w:t>
      </w:r>
      <w:r w:rsidRPr="000476A7">
        <w:rPr>
          <w:iCs/>
          <w:sz w:val="26"/>
          <w:szCs w:val="26"/>
        </w:rPr>
        <w:t>, objeto de avaliação neste trabalho, surgiu em sua primeira versão em 2007, como o resultado de uma parceria firmada entre o Ministério dos Transportes e o Ministério da Defesa, por meio do Centro de Excelência em Engenharia de Transportes (CENTRAN), a fim de criar plano de caráter indicativo, capaz de se tornar instrumento orientador para a formulação de políticas públicas do setor de transportes; contribuir para a maior racionalidade e qualificação do gasto público; e representar sólido subsídio para os próximos Planos Plurianuais até 2023. Entretanto, o PNLT foi reeditado apenas duas vezes: em 2009 e em 2011, não tendo sido, desde então, atualizado.</w:t>
      </w:r>
    </w:p>
    <w:p w:rsidR="00C72598" w:rsidRPr="000476A7" w:rsidRDefault="00C72598" w:rsidP="00C72598">
      <w:pPr>
        <w:spacing w:after="360"/>
        <w:ind w:firstLine="1418"/>
        <w:jc w:val="both"/>
        <w:rPr>
          <w:sz w:val="26"/>
          <w:szCs w:val="26"/>
        </w:rPr>
      </w:pPr>
      <w:r w:rsidRPr="000476A7">
        <w:rPr>
          <w:sz w:val="26"/>
          <w:szCs w:val="26"/>
        </w:rPr>
        <w:t>O PNLT pretendia representar o marco inicial da retomada, em caráter permanente, das atividades destinadas a orientar o planejamento das ações públicas e privadas no setor dos transportes, com embasamento científico. O funcionamento desse sistema permitiria a atualização e divulgação periódica de estratégias e diretrizes que pudessem orientar as intervenções dos agentes públicos e privados envolvidos com o setor dos transportes. Dessarte, a pretensão, na época da elaboração de sua primeira versão, era de que o PNLT fosse um plano de Estado e não apenas de Governo.</w:t>
      </w:r>
    </w:p>
    <w:p w:rsidR="00C72598" w:rsidRDefault="00C72598" w:rsidP="00C72598">
      <w:pPr>
        <w:spacing w:after="360"/>
        <w:ind w:firstLine="1418"/>
        <w:jc w:val="both"/>
        <w:rPr>
          <w:sz w:val="26"/>
          <w:szCs w:val="26"/>
        </w:rPr>
      </w:pPr>
      <w:r w:rsidRPr="000476A7">
        <w:rPr>
          <w:sz w:val="26"/>
          <w:szCs w:val="26"/>
        </w:rPr>
        <w:t xml:space="preserve">A versão de 2007 elencava como objetivos do PNLT: retomar o processo de planejamento do setor de transportes; levantar os custos de toda cadeia logística do setor de transportes, não apenas os operacionais; e, especialmente, mudar a matriz de transportes a fim de torná-la menos dependente do modal rodoviário. A meta original era a de equilibrar a matriz de transportes brasileira e passar, em </w:t>
      </w:r>
      <w:r>
        <w:rPr>
          <w:sz w:val="26"/>
          <w:szCs w:val="26"/>
        </w:rPr>
        <w:t>cerca de duas décadas</w:t>
      </w:r>
      <w:r w:rsidRPr="000476A7">
        <w:rPr>
          <w:sz w:val="26"/>
          <w:szCs w:val="26"/>
        </w:rPr>
        <w:t>, até 2025, a participação do modal rodoviário de 58% para 33%, do ferroviário de 25% para 32% e do hidroviário de 13% para 29%.</w:t>
      </w:r>
    </w:p>
    <w:p w:rsidR="00C72598" w:rsidRPr="00A87DF1" w:rsidRDefault="00C72598" w:rsidP="00C72598">
      <w:pPr>
        <w:spacing w:after="360"/>
        <w:ind w:firstLine="1418"/>
        <w:jc w:val="both"/>
        <w:rPr>
          <w:sz w:val="26"/>
          <w:szCs w:val="26"/>
        </w:rPr>
      </w:pPr>
      <w:r>
        <w:rPr>
          <w:sz w:val="26"/>
          <w:szCs w:val="26"/>
        </w:rPr>
        <w:t>O PNLT de 2007 estruturou sua organização interna não em função de uma organização político-administrativa por Estados ou Regiões Geográficas, mas por uma organização espacial do País alicerçada em microrregiões homogen</w:t>
      </w:r>
      <w:r w:rsidR="004F6365">
        <w:rPr>
          <w:sz w:val="26"/>
          <w:szCs w:val="26"/>
        </w:rPr>
        <w:t>e</w:t>
      </w:r>
      <w:r>
        <w:rPr>
          <w:sz w:val="26"/>
          <w:szCs w:val="26"/>
        </w:rPr>
        <w:t>as, chamadas de “vetores logísticos”, as quais</w:t>
      </w:r>
      <w:r w:rsidRPr="00A87DF1">
        <w:rPr>
          <w:sz w:val="26"/>
          <w:szCs w:val="26"/>
        </w:rPr>
        <w:t xml:space="preserve"> foram agrupadas em função da superposição</w:t>
      </w:r>
      <w:r>
        <w:rPr>
          <w:sz w:val="26"/>
          <w:szCs w:val="26"/>
        </w:rPr>
        <w:t xml:space="preserve"> </w:t>
      </w:r>
      <w:r w:rsidRPr="00A87DF1">
        <w:rPr>
          <w:sz w:val="26"/>
          <w:szCs w:val="26"/>
        </w:rPr>
        <w:t>georreferenciada de diversos fatores representativos de suas características</w:t>
      </w:r>
      <w:r>
        <w:rPr>
          <w:sz w:val="26"/>
          <w:szCs w:val="26"/>
        </w:rPr>
        <w:t>, a saber</w:t>
      </w:r>
      <w:r w:rsidRPr="00A87DF1">
        <w:rPr>
          <w:sz w:val="26"/>
          <w:szCs w:val="26"/>
        </w:rPr>
        <w:t>:</w:t>
      </w:r>
      <w:r>
        <w:rPr>
          <w:sz w:val="26"/>
          <w:szCs w:val="26"/>
        </w:rPr>
        <w:t xml:space="preserve"> </w:t>
      </w:r>
      <w:r w:rsidRPr="00F11232">
        <w:rPr>
          <w:i/>
          <w:sz w:val="26"/>
          <w:szCs w:val="26"/>
        </w:rPr>
        <w:t>impedâncias ambientais</w:t>
      </w:r>
      <w:r>
        <w:rPr>
          <w:sz w:val="26"/>
          <w:szCs w:val="26"/>
        </w:rPr>
        <w:t xml:space="preserve">; </w:t>
      </w:r>
      <w:r w:rsidRPr="00F11232">
        <w:rPr>
          <w:i/>
          <w:sz w:val="26"/>
          <w:szCs w:val="26"/>
        </w:rPr>
        <w:t>similaridades sócio-econômicas</w:t>
      </w:r>
      <w:r>
        <w:rPr>
          <w:sz w:val="26"/>
          <w:szCs w:val="26"/>
        </w:rPr>
        <w:t xml:space="preserve">; </w:t>
      </w:r>
      <w:r w:rsidRPr="00A87DF1">
        <w:rPr>
          <w:sz w:val="26"/>
          <w:szCs w:val="26"/>
        </w:rPr>
        <w:t xml:space="preserve"> </w:t>
      </w:r>
      <w:r w:rsidRPr="00F11232">
        <w:rPr>
          <w:i/>
          <w:sz w:val="26"/>
          <w:szCs w:val="26"/>
        </w:rPr>
        <w:t>perspectivas de integração e inter-relacionamento</w:t>
      </w:r>
      <w:r w:rsidRPr="00A87DF1">
        <w:rPr>
          <w:sz w:val="26"/>
          <w:szCs w:val="26"/>
        </w:rPr>
        <w:t xml:space="preserve"> (a antiga noção de “corredores de</w:t>
      </w:r>
      <w:r>
        <w:rPr>
          <w:sz w:val="26"/>
          <w:szCs w:val="26"/>
        </w:rPr>
        <w:t xml:space="preserve"> </w:t>
      </w:r>
      <w:r w:rsidRPr="00A87DF1">
        <w:rPr>
          <w:sz w:val="26"/>
          <w:szCs w:val="26"/>
        </w:rPr>
        <w:t>transporte”)</w:t>
      </w:r>
      <w:r>
        <w:rPr>
          <w:sz w:val="26"/>
          <w:szCs w:val="26"/>
        </w:rPr>
        <w:t xml:space="preserve">; e </w:t>
      </w:r>
      <w:r w:rsidRPr="00F11232">
        <w:rPr>
          <w:i/>
          <w:sz w:val="26"/>
          <w:szCs w:val="26"/>
        </w:rPr>
        <w:t>funções de transporte</w:t>
      </w:r>
      <w:r w:rsidRPr="00A87DF1">
        <w:rPr>
          <w:sz w:val="26"/>
          <w:szCs w:val="26"/>
        </w:rPr>
        <w:t>, identificadas a partir da análise de isocustos em relação aos</w:t>
      </w:r>
      <w:r>
        <w:rPr>
          <w:sz w:val="26"/>
          <w:szCs w:val="26"/>
        </w:rPr>
        <w:t xml:space="preserve"> </w:t>
      </w:r>
      <w:r w:rsidRPr="00A87DF1">
        <w:rPr>
          <w:sz w:val="26"/>
          <w:szCs w:val="26"/>
        </w:rPr>
        <w:t>principais portos concentradores de carga do País.</w:t>
      </w:r>
    </w:p>
    <w:p w:rsidR="00C72598" w:rsidRDefault="00C72598" w:rsidP="00C72598">
      <w:pPr>
        <w:spacing w:after="360"/>
        <w:ind w:firstLine="1418"/>
        <w:jc w:val="both"/>
        <w:rPr>
          <w:sz w:val="26"/>
          <w:szCs w:val="26"/>
        </w:rPr>
      </w:pPr>
      <w:r>
        <w:rPr>
          <w:sz w:val="26"/>
          <w:szCs w:val="26"/>
        </w:rPr>
        <w:t xml:space="preserve">Os </w:t>
      </w:r>
      <w:r w:rsidRPr="00A87DF1">
        <w:rPr>
          <w:sz w:val="26"/>
          <w:szCs w:val="26"/>
        </w:rPr>
        <w:t>“vetores logísticos”, compostos por microrregiões agregadas segundo os fatores acima</w:t>
      </w:r>
      <w:r>
        <w:rPr>
          <w:sz w:val="26"/>
          <w:szCs w:val="26"/>
        </w:rPr>
        <w:t xml:space="preserve"> </w:t>
      </w:r>
      <w:r w:rsidRPr="00A87DF1">
        <w:rPr>
          <w:sz w:val="26"/>
          <w:szCs w:val="26"/>
        </w:rPr>
        <w:t>referidos</w:t>
      </w:r>
      <w:r>
        <w:rPr>
          <w:sz w:val="26"/>
          <w:szCs w:val="26"/>
        </w:rPr>
        <w:t>, foram</w:t>
      </w:r>
      <w:r w:rsidRPr="00A87DF1">
        <w:rPr>
          <w:sz w:val="26"/>
          <w:szCs w:val="26"/>
        </w:rPr>
        <w:t>:</w:t>
      </w:r>
      <w:r>
        <w:rPr>
          <w:sz w:val="26"/>
          <w:szCs w:val="26"/>
        </w:rPr>
        <w:t xml:space="preserve"> </w:t>
      </w:r>
      <w:r w:rsidRPr="00A87DF1">
        <w:rPr>
          <w:sz w:val="26"/>
          <w:szCs w:val="26"/>
        </w:rPr>
        <w:t>Amazônico</w:t>
      </w:r>
      <w:r>
        <w:rPr>
          <w:sz w:val="26"/>
          <w:szCs w:val="26"/>
        </w:rPr>
        <w:t xml:space="preserve">; </w:t>
      </w:r>
      <w:r w:rsidRPr="00A87DF1">
        <w:rPr>
          <w:sz w:val="26"/>
          <w:szCs w:val="26"/>
        </w:rPr>
        <w:t>Centro-Norte</w:t>
      </w:r>
      <w:r>
        <w:rPr>
          <w:sz w:val="26"/>
          <w:szCs w:val="26"/>
        </w:rPr>
        <w:t xml:space="preserve">; </w:t>
      </w:r>
      <w:r w:rsidRPr="00A87DF1">
        <w:rPr>
          <w:sz w:val="26"/>
          <w:szCs w:val="26"/>
        </w:rPr>
        <w:t>Nordeste Setentrional</w:t>
      </w:r>
      <w:r>
        <w:rPr>
          <w:sz w:val="26"/>
          <w:szCs w:val="26"/>
        </w:rPr>
        <w:t xml:space="preserve">; </w:t>
      </w:r>
      <w:r w:rsidRPr="00A87DF1">
        <w:rPr>
          <w:sz w:val="26"/>
          <w:szCs w:val="26"/>
        </w:rPr>
        <w:t>Nordeste Meridional</w:t>
      </w:r>
      <w:r>
        <w:rPr>
          <w:sz w:val="26"/>
          <w:szCs w:val="26"/>
        </w:rPr>
        <w:t xml:space="preserve">; </w:t>
      </w:r>
      <w:r w:rsidRPr="00A87DF1">
        <w:rPr>
          <w:sz w:val="26"/>
          <w:szCs w:val="26"/>
        </w:rPr>
        <w:t>Leste</w:t>
      </w:r>
      <w:r>
        <w:rPr>
          <w:sz w:val="26"/>
          <w:szCs w:val="26"/>
        </w:rPr>
        <w:t xml:space="preserve">; </w:t>
      </w:r>
      <w:r w:rsidRPr="00A87DF1">
        <w:rPr>
          <w:sz w:val="26"/>
          <w:szCs w:val="26"/>
        </w:rPr>
        <w:t>Centro-Sudeste</w:t>
      </w:r>
      <w:r>
        <w:rPr>
          <w:sz w:val="26"/>
          <w:szCs w:val="26"/>
        </w:rPr>
        <w:t xml:space="preserve">; e </w:t>
      </w:r>
      <w:r w:rsidRPr="00A87DF1">
        <w:rPr>
          <w:sz w:val="26"/>
          <w:szCs w:val="26"/>
        </w:rPr>
        <w:t>Sul</w:t>
      </w:r>
      <w:r>
        <w:rPr>
          <w:sz w:val="26"/>
          <w:szCs w:val="26"/>
        </w:rPr>
        <w:t>.</w:t>
      </w:r>
    </w:p>
    <w:p w:rsidR="00C72598" w:rsidRDefault="004C3BEA" w:rsidP="00C72598">
      <w:pPr>
        <w:keepNext/>
        <w:spacing w:after="360"/>
        <w:jc w:val="both"/>
      </w:pPr>
      <w:r w:rsidRPr="00A87DF1">
        <w:rPr>
          <w:noProof/>
          <w:sz w:val="26"/>
          <w:szCs w:val="26"/>
        </w:rPr>
        <w:drawing>
          <wp:inline distT="0" distB="0" distL="0" distR="0">
            <wp:extent cx="5514975" cy="49339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4933950"/>
                    </a:xfrm>
                    <a:prstGeom prst="rect">
                      <a:avLst/>
                    </a:prstGeom>
                    <a:noFill/>
                    <a:ln>
                      <a:noFill/>
                    </a:ln>
                  </pic:spPr>
                </pic:pic>
              </a:graphicData>
            </a:graphic>
          </wp:inline>
        </w:drawing>
      </w:r>
    </w:p>
    <w:p w:rsidR="00C72598" w:rsidRDefault="00C72598" w:rsidP="00C72598">
      <w:pPr>
        <w:pStyle w:val="Legenda"/>
        <w:jc w:val="both"/>
        <w:rPr>
          <w:sz w:val="26"/>
          <w:szCs w:val="26"/>
        </w:rPr>
      </w:pPr>
      <w:r>
        <w:t xml:space="preserve">Figura </w:t>
      </w:r>
      <w:fldSimple w:instr=" SEQ Figura \* ARABIC ">
        <w:r w:rsidR="00780B83">
          <w:rPr>
            <w:noProof/>
          </w:rPr>
          <w:t>2</w:t>
        </w:r>
      </w:fldSimple>
      <w:r>
        <w:t xml:space="preserve"> - Vetores Logísticos - PNLT</w:t>
      </w:r>
    </w:p>
    <w:p w:rsidR="00C72598" w:rsidRDefault="00C72598" w:rsidP="00C72598">
      <w:pPr>
        <w:spacing w:after="360"/>
        <w:jc w:val="both"/>
        <w:rPr>
          <w:sz w:val="26"/>
          <w:szCs w:val="26"/>
        </w:rPr>
      </w:pPr>
    </w:p>
    <w:p w:rsidR="00C72598" w:rsidRDefault="00C72598" w:rsidP="00C72598">
      <w:pPr>
        <w:spacing w:after="360"/>
        <w:ind w:firstLine="1418"/>
        <w:jc w:val="both"/>
        <w:rPr>
          <w:sz w:val="26"/>
          <w:szCs w:val="26"/>
        </w:rPr>
      </w:pPr>
      <w:r>
        <w:rPr>
          <w:sz w:val="26"/>
          <w:szCs w:val="26"/>
        </w:rPr>
        <w:t>Observa-se, por oportuno, que a classificação em vetores logísticos foi parcialmente incorporada no Plano Plurianual (PPA) 2012-2015, no acompanhamento de metas dos sistemas de transportes rodoviário, ferroviário, portuário e hidroviário. Entretanto, o planejamento original do PNLT incluía também o modal aeroportuário, que não teve a classificação por vetores logísticos como critério de alocação de recursos.</w:t>
      </w:r>
    </w:p>
    <w:p w:rsidR="00C72598" w:rsidRDefault="004C3BEA" w:rsidP="00C72598">
      <w:pPr>
        <w:spacing w:after="360"/>
        <w:jc w:val="both"/>
      </w:pPr>
      <w:r w:rsidRPr="00257553">
        <w:rPr>
          <w:noProof/>
          <w:sz w:val="26"/>
          <w:szCs w:val="26"/>
        </w:rPr>
        <w:drawing>
          <wp:inline distT="0" distB="0" distL="0" distR="0">
            <wp:extent cx="5572125" cy="17526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2125" cy="1752600"/>
                    </a:xfrm>
                    <a:prstGeom prst="rect">
                      <a:avLst/>
                    </a:prstGeom>
                    <a:noFill/>
                    <a:ln>
                      <a:noFill/>
                    </a:ln>
                  </pic:spPr>
                </pic:pic>
              </a:graphicData>
            </a:graphic>
          </wp:inline>
        </w:drawing>
      </w:r>
    </w:p>
    <w:p w:rsidR="00C72598" w:rsidRDefault="00C72598" w:rsidP="00C72598">
      <w:pPr>
        <w:pStyle w:val="Legenda"/>
        <w:jc w:val="both"/>
        <w:rPr>
          <w:sz w:val="26"/>
          <w:szCs w:val="26"/>
        </w:rPr>
      </w:pPr>
      <w:r>
        <w:t xml:space="preserve">Figura </w:t>
      </w:r>
      <w:fldSimple w:instr=" SEQ Figura \* ARABIC ">
        <w:r w:rsidR="00780B83">
          <w:rPr>
            <w:noProof/>
          </w:rPr>
          <w:t>3</w:t>
        </w:r>
      </w:fldSimple>
      <w:r>
        <w:t xml:space="preserve"> - Quadro síntese de investimentos por vetor logístico e modal. PNLT, 2007.</w:t>
      </w:r>
    </w:p>
    <w:p w:rsidR="00C72598" w:rsidRDefault="00C72598" w:rsidP="00C72598">
      <w:pPr>
        <w:spacing w:after="360"/>
        <w:jc w:val="both"/>
        <w:rPr>
          <w:sz w:val="26"/>
          <w:szCs w:val="26"/>
        </w:rPr>
      </w:pPr>
    </w:p>
    <w:p w:rsidR="00C72598" w:rsidRDefault="00C72598" w:rsidP="00C72598">
      <w:pPr>
        <w:spacing w:after="360"/>
        <w:ind w:firstLine="1418"/>
        <w:jc w:val="both"/>
        <w:rPr>
          <w:sz w:val="26"/>
          <w:szCs w:val="26"/>
        </w:rPr>
      </w:pPr>
      <w:r>
        <w:rPr>
          <w:sz w:val="26"/>
          <w:szCs w:val="26"/>
        </w:rPr>
        <w:t xml:space="preserve">A lógica de desenvolvimento apontada pelo PNLT era de que apesar de reconhecer os avanços com a desestatização de infraestruturas nos setores portuários, rodoviários e ferroviários levados a cabo até 2007, a recuperação e expansão da capacidade da infraestrutura do país deveriam ocorrer por meio da intensificação de investimentos públicos através de um planejamento centralizado. O PNLT cita como exemplos dessa lógica a </w:t>
      </w:r>
      <w:r w:rsidRPr="000226CF">
        <w:rPr>
          <w:sz w:val="26"/>
          <w:szCs w:val="26"/>
        </w:rPr>
        <w:t>construção da Ferrovia Nova Transnordestina, mediante aporte de financiamentos oriundos</w:t>
      </w:r>
      <w:r>
        <w:rPr>
          <w:sz w:val="26"/>
          <w:szCs w:val="26"/>
        </w:rPr>
        <w:t xml:space="preserve"> </w:t>
      </w:r>
      <w:r w:rsidRPr="000226CF">
        <w:rPr>
          <w:sz w:val="26"/>
          <w:szCs w:val="26"/>
        </w:rPr>
        <w:t>de organismos de desenvolvimento regional, e do prosseguimento da construção da</w:t>
      </w:r>
      <w:r>
        <w:rPr>
          <w:sz w:val="26"/>
          <w:szCs w:val="26"/>
        </w:rPr>
        <w:t xml:space="preserve"> </w:t>
      </w:r>
      <w:r w:rsidRPr="000226CF">
        <w:rPr>
          <w:sz w:val="26"/>
          <w:szCs w:val="26"/>
        </w:rPr>
        <w:t>Ferrovia Norte – Sul</w:t>
      </w:r>
      <w:r>
        <w:rPr>
          <w:sz w:val="26"/>
          <w:szCs w:val="26"/>
        </w:rPr>
        <w:t xml:space="preserve">; o </w:t>
      </w:r>
      <w:r w:rsidRPr="000226CF">
        <w:rPr>
          <w:sz w:val="26"/>
          <w:szCs w:val="26"/>
        </w:rPr>
        <w:t>programa de dragagem de</w:t>
      </w:r>
      <w:r>
        <w:rPr>
          <w:sz w:val="26"/>
          <w:szCs w:val="26"/>
        </w:rPr>
        <w:t xml:space="preserve"> </w:t>
      </w:r>
      <w:r w:rsidRPr="000226CF">
        <w:rPr>
          <w:sz w:val="26"/>
          <w:szCs w:val="26"/>
        </w:rPr>
        <w:t>aprofundamento e de manutenção dos canais de acesso, bacias de evolução, bacias de</w:t>
      </w:r>
      <w:r>
        <w:rPr>
          <w:sz w:val="26"/>
          <w:szCs w:val="26"/>
        </w:rPr>
        <w:t xml:space="preserve"> </w:t>
      </w:r>
      <w:r w:rsidRPr="000226CF">
        <w:rPr>
          <w:sz w:val="26"/>
          <w:szCs w:val="26"/>
        </w:rPr>
        <w:t>fundeio e áreas de atracação dos principais portos</w:t>
      </w:r>
      <w:r>
        <w:rPr>
          <w:sz w:val="26"/>
          <w:szCs w:val="26"/>
        </w:rPr>
        <w:t xml:space="preserve">; a duplicação da BR-101 na Região Nordeste e o </w:t>
      </w:r>
      <w:r w:rsidRPr="00951F53">
        <w:rPr>
          <w:sz w:val="26"/>
          <w:szCs w:val="26"/>
        </w:rPr>
        <w:t>fortalecimento da indústria</w:t>
      </w:r>
      <w:r>
        <w:rPr>
          <w:sz w:val="26"/>
          <w:szCs w:val="26"/>
        </w:rPr>
        <w:t xml:space="preserve"> </w:t>
      </w:r>
      <w:r w:rsidRPr="00951F53">
        <w:rPr>
          <w:sz w:val="26"/>
          <w:szCs w:val="26"/>
        </w:rPr>
        <w:t>de construção naval</w:t>
      </w:r>
      <w:r>
        <w:rPr>
          <w:sz w:val="26"/>
          <w:szCs w:val="26"/>
        </w:rPr>
        <w:t>.</w:t>
      </w:r>
    </w:p>
    <w:p w:rsidR="00C72598" w:rsidRDefault="00C72598" w:rsidP="00C72598">
      <w:pPr>
        <w:spacing w:after="360"/>
        <w:ind w:firstLine="1418"/>
        <w:jc w:val="both"/>
        <w:rPr>
          <w:sz w:val="26"/>
          <w:szCs w:val="26"/>
        </w:rPr>
      </w:pPr>
      <w:r>
        <w:rPr>
          <w:sz w:val="26"/>
          <w:szCs w:val="26"/>
        </w:rPr>
        <w:t>O PNLT foi estruturado a partir de uma base de dados georreferenciada da infraestrutura nacional de transportes de cargas, envolvendo todos os modais – aeroportuário, ferroviário,</w:t>
      </w:r>
      <w:r w:rsidRPr="00713BA8">
        <w:rPr>
          <w:sz w:val="26"/>
          <w:szCs w:val="26"/>
        </w:rPr>
        <w:t xml:space="preserve"> </w:t>
      </w:r>
      <w:r>
        <w:rPr>
          <w:sz w:val="26"/>
          <w:szCs w:val="26"/>
        </w:rPr>
        <w:t>hidroviário, rodoviário e portuário –, bem como, análises de oferta e demanda de transporte e ainda simulações de viagens e alternativas de investimento.</w:t>
      </w:r>
    </w:p>
    <w:p w:rsidR="00C72598" w:rsidRDefault="00C72598" w:rsidP="00C72598">
      <w:pPr>
        <w:spacing w:after="360"/>
        <w:ind w:firstLine="1418"/>
        <w:jc w:val="both"/>
        <w:rPr>
          <w:sz w:val="26"/>
          <w:szCs w:val="26"/>
        </w:rPr>
      </w:pPr>
      <w:r>
        <w:rPr>
          <w:sz w:val="26"/>
          <w:szCs w:val="26"/>
        </w:rPr>
        <w:t>O PNLT também estudou o transporte de passageiros, notadamente, entre as capitais brasileiras em uma projeção até 2023, apresentando uma projeção de estimativas de demandas para as vinte maiores ligações entre capitais nacionais.</w:t>
      </w:r>
    </w:p>
    <w:p w:rsidR="00C72598" w:rsidRDefault="00C72598" w:rsidP="00C72598">
      <w:pPr>
        <w:spacing w:after="360"/>
        <w:ind w:firstLine="1418"/>
        <w:jc w:val="both"/>
        <w:rPr>
          <w:sz w:val="26"/>
          <w:szCs w:val="26"/>
        </w:rPr>
      </w:pPr>
      <w:r>
        <w:rPr>
          <w:sz w:val="26"/>
          <w:szCs w:val="26"/>
        </w:rPr>
        <w:t>O PNLT apresenta</w:t>
      </w:r>
      <w:r w:rsidRPr="00D43126">
        <w:rPr>
          <w:sz w:val="26"/>
          <w:szCs w:val="26"/>
        </w:rPr>
        <w:t xml:space="preserve"> portfólio de investimentos em transportes para o País, organizados de acordo com as taxas de retorno esperad</w:t>
      </w:r>
      <w:r>
        <w:rPr>
          <w:sz w:val="26"/>
          <w:szCs w:val="26"/>
        </w:rPr>
        <w:t xml:space="preserve">as e a cronologia em que deveriam </w:t>
      </w:r>
      <w:r w:rsidRPr="00D43126">
        <w:rPr>
          <w:sz w:val="26"/>
          <w:szCs w:val="26"/>
        </w:rPr>
        <w:t>entrar em operação para evitar gargalos, ou seja, os períodos para os Planos</w:t>
      </w:r>
      <w:r>
        <w:rPr>
          <w:sz w:val="26"/>
          <w:szCs w:val="26"/>
        </w:rPr>
        <w:t xml:space="preserve"> </w:t>
      </w:r>
      <w:r w:rsidRPr="00D43126">
        <w:rPr>
          <w:sz w:val="26"/>
          <w:szCs w:val="26"/>
        </w:rPr>
        <w:t xml:space="preserve">Plurianuais de </w:t>
      </w:r>
      <w:r>
        <w:rPr>
          <w:sz w:val="26"/>
          <w:szCs w:val="26"/>
        </w:rPr>
        <w:t>G</w:t>
      </w:r>
      <w:r w:rsidRPr="00D43126">
        <w:rPr>
          <w:sz w:val="26"/>
          <w:szCs w:val="26"/>
        </w:rPr>
        <w:t>overno – PPA 2008/2011, PPA 2012/2015 e, de forma agregada, os dois</w:t>
      </w:r>
      <w:r>
        <w:rPr>
          <w:sz w:val="26"/>
          <w:szCs w:val="26"/>
        </w:rPr>
        <w:t xml:space="preserve"> </w:t>
      </w:r>
      <w:r w:rsidRPr="00D43126">
        <w:rPr>
          <w:sz w:val="26"/>
          <w:szCs w:val="26"/>
        </w:rPr>
        <w:t xml:space="preserve">PPAs do período 2016-2023. </w:t>
      </w:r>
      <w:r>
        <w:rPr>
          <w:sz w:val="26"/>
          <w:szCs w:val="26"/>
        </w:rPr>
        <w:t xml:space="preserve"> Assim, o PNLT apresenta portfólio de investimentos, com estimativas de:</w:t>
      </w:r>
      <w:r w:rsidRPr="00045A2C">
        <w:rPr>
          <w:sz w:val="26"/>
          <w:szCs w:val="26"/>
        </w:rPr>
        <w:t xml:space="preserve"> recursos</w:t>
      </w:r>
      <w:r>
        <w:rPr>
          <w:sz w:val="26"/>
          <w:szCs w:val="26"/>
        </w:rPr>
        <w:t xml:space="preserve"> financeiros </w:t>
      </w:r>
      <w:r w:rsidRPr="00045A2C">
        <w:rPr>
          <w:sz w:val="26"/>
          <w:szCs w:val="26"/>
        </w:rPr>
        <w:t>necessários</w:t>
      </w:r>
      <w:r>
        <w:rPr>
          <w:sz w:val="26"/>
          <w:szCs w:val="26"/>
        </w:rPr>
        <w:t>;</w:t>
      </w:r>
      <w:r w:rsidRPr="00045A2C">
        <w:rPr>
          <w:sz w:val="26"/>
          <w:szCs w:val="26"/>
        </w:rPr>
        <w:t xml:space="preserve"> cadeias produtivas atendidas</w:t>
      </w:r>
      <w:r>
        <w:rPr>
          <w:sz w:val="26"/>
          <w:szCs w:val="26"/>
        </w:rPr>
        <w:t>;</w:t>
      </w:r>
      <w:r w:rsidRPr="00045A2C">
        <w:rPr>
          <w:sz w:val="26"/>
          <w:szCs w:val="26"/>
        </w:rPr>
        <w:t xml:space="preserve"> viabilidade econômica</w:t>
      </w:r>
      <w:r>
        <w:rPr>
          <w:sz w:val="26"/>
          <w:szCs w:val="26"/>
        </w:rPr>
        <w:t>;</w:t>
      </w:r>
      <w:r w:rsidRPr="00045A2C">
        <w:rPr>
          <w:sz w:val="26"/>
          <w:szCs w:val="26"/>
        </w:rPr>
        <w:t xml:space="preserve"> cronograma de</w:t>
      </w:r>
      <w:r>
        <w:rPr>
          <w:sz w:val="26"/>
          <w:szCs w:val="26"/>
        </w:rPr>
        <w:t xml:space="preserve"> </w:t>
      </w:r>
      <w:r w:rsidRPr="00045A2C">
        <w:rPr>
          <w:sz w:val="26"/>
          <w:szCs w:val="26"/>
        </w:rPr>
        <w:t>implantação desejável</w:t>
      </w:r>
      <w:r>
        <w:rPr>
          <w:sz w:val="26"/>
          <w:szCs w:val="26"/>
        </w:rPr>
        <w:t>;</w:t>
      </w:r>
      <w:r w:rsidRPr="00045A2C">
        <w:rPr>
          <w:sz w:val="26"/>
          <w:szCs w:val="26"/>
        </w:rPr>
        <w:t xml:space="preserve"> </w:t>
      </w:r>
      <w:r>
        <w:rPr>
          <w:sz w:val="26"/>
          <w:szCs w:val="26"/>
        </w:rPr>
        <w:t xml:space="preserve">e </w:t>
      </w:r>
      <w:r w:rsidRPr="00045A2C">
        <w:rPr>
          <w:sz w:val="26"/>
          <w:szCs w:val="26"/>
        </w:rPr>
        <w:t>atratividade a investimentos privados</w:t>
      </w:r>
      <w:r>
        <w:rPr>
          <w:sz w:val="26"/>
          <w:szCs w:val="26"/>
        </w:rPr>
        <w:t xml:space="preserve">. Tudo, com o fim de  </w:t>
      </w:r>
      <w:r w:rsidRPr="00045A2C">
        <w:rPr>
          <w:sz w:val="26"/>
          <w:szCs w:val="26"/>
        </w:rPr>
        <w:t>a) recuperar os níveis de investimentos em infraestrutura acima dos níveis de 2000,</w:t>
      </w:r>
      <w:r>
        <w:rPr>
          <w:sz w:val="26"/>
          <w:szCs w:val="26"/>
        </w:rPr>
        <w:t xml:space="preserve"> </w:t>
      </w:r>
      <w:r w:rsidRPr="00045A2C">
        <w:rPr>
          <w:sz w:val="26"/>
          <w:szCs w:val="26"/>
        </w:rPr>
        <w:t>destinando 0,4% do PIB a tr</w:t>
      </w:r>
      <w:r>
        <w:rPr>
          <w:sz w:val="26"/>
          <w:szCs w:val="26"/>
        </w:rPr>
        <w:t xml:space="preserve">ansportes, no período 2008-2023; </w:t>
      </w:r>
      <w:r w:rsidRPr="00045A2C">
        <w:rPr>
          <w:sz w:val="26"/>
          <w:szCs w:val="26"/>
        </w:rPr>
        <w:t>b) alterar a matriz de transportes de cargas nacional com modais de alta capacidade e baixo</w:t>
      </w:r>
      <w:r>
        <w:rPr>
          <w:sz w:val="26"/>
          <w:szCs w:val="26"/>
        </w:rPr>
        <w:t xml:space="preserve"> </w:t>
      </w:r>
      <w:r w:rsidRPr="00045A2C">
        <w:rPr>
          <w:sz w:val="26"/>
          <w:szCs w:val="26"/>
        </w:rPr>
        <w:t>custo, ampliando a participação dos modais hidro-ferroviários;</w:t>
      </w:r>
      <w:r>
        <w:rPr>
          <w:sz w:val="26"/>
          <w:szCs w:val="26"/>
        </w:rPr>
        <w:t xml:space="preserve"> </w:t>
      </w:r>
      <w:r w:rsidRPr="00045A2C">
        <w:rPr>
          <w:sz w:val="26"/>
          <w:szCs w:val="26"/>
        </w:rPr>
        <w:t>c) ampliar a atratividade a investimentos privados nos novos ciclos de expansão da</w:t>
      </w:r>
      <w:r>
        <w:rPr>
          <w:sz w:val="26"/>
          <w:szCs w:val="26"/>
        </w:rPr>
        <w:t xml:space="preserve"> </w:t>
      </w:r>
      <w:r w:rsidRPr="00045A2C">
        <w:rPr>
          <w:sz w:val="26"/>
          <w:szCs w:val="26"/>
        </w:rPr>
        <w:t>economia brasileira</w:t>
      </w:r>
      <w:r>
        <w:rPr>
          <w:sz w:val="26"/>
          <w:szCs w:val="26"/>
        </w:rPr>
        <w:t xml:space="preserve">, por meio de </w:t>
      </w:r>
      <w:r w:rsidRPr="00045A2C">
        <w:rPr>
          <w:sz w:val="26"/>
          <w:szCs w:val="26"/>
        </w:rPr>
        <w:t>concessões ou de</w:t>
      </w:r>
      <w:r>
        <w:rPr>
          <w:sz w:val="26"/>
          <w:szCs w:val="26"/>
        </w:rPr>
        <w:t xml:space="preserve"> </w:t>
      </w:r>
      <w:r w:rsidRPr="00045A2C">
        <w:rPr>
          <w:sz w:val="26"/>
          <w:szCs w:val="26"/>
        </w:rPr>
        <w:t>parcerias público-privado;</w:t>
      </w:r>
      <w:r>
        <w:rPr>
          <w:sz w:val="26"/>
          <w:szCs w:val="26"/>
        </w:rPr>
        <w:t xml:space="preserve"> </w:t>
      </w:r>
      <w:r w:rsidRPr="00045A2C">
        <w:rPr>
          <w:sz w:val="26"/>
          <w:szCs w:val="26"/>
        </w:rPr>
        <w:t>d) formular estratégias para as empresas estatais que ainda remanescem nos setores de</w:t>
      </w:r>
      <w:r>
        <w:rPr>
          <w:sz w:val="26"/>
          <w:szCs w:val="26"/>
        </w:rPr>
        <w:t xml:space="preserve"> </w:t>
      </w:r>
      <w:r w:rsidRPr="00045A2C">
        <w:rPr>
          <w:sz w:val="26"/>
          <w:szCs w:val="26"/>
        </w:rPr>
        <w:t xml:space="preserve">infraestrutura, para lhes dar condições competitivas </w:t>
      </w:r>
      <w:r>
        <w:rPr>
          <w:sz w:val="26"/>
          <w:szCs w:val="26"/>
        </w:rPr>
        <w:t>em</w:t>
      </w:r>
      <w:r w:rsidRPr="00045A2C">
        <w:rPr>
          <w:sz w:val="26"/>
          <w:szCs w:val="26"/>
        </w:rPr>
        <w:t xml:space="preserve"> ambiente de negócios, onde as</w:t>
      </w:r>
      <w:r>
        <w:rPr>
          <w:sz w:val="26"/>
          <w:szCs w:val="26"/>
        </w:rPr>
        <w:t xml:space="preserve"> </w:t>
      </w:r>
      <w:r w:rsidRPr="00045A2C">
        <w:rPr>
          <w:sz w:val="26"/>
          <w:szCs w:val="26"/>
        </w:rPr>
        <w:t>organizações nacionais estão cada vez mais expostas a concorrentes de todos os países do</w:t>
      </w:r>
      <w:r>
        <w:rPr>
          <w:sz w:val="26"/>
          <w:szCs w:val="26"/>
        </w:rPr>
        <w:t xml:space="preserve"> </w:t>
      </w:r>
      <w:r w:rsidRPr="00045A2C">
        <w:rPr>
          <w:sz w:val="26"/>
          <w:szCs w:val="26"/>
        </w:rPr>
        <w:t>mundo, em mercados em que perderam sua reserva e proteção.</w:t>
      </w:r>
    </w:p>
    <w:p w:rsidR="00C72598" w:rsidRDefault="00C72598" w:rsidP="00C72598">
      <w:pPr>
        <w:spacing w:after="360"/>
        <w:ind w:firstLine="1418"/>
        <w:jc w:val="both"/>
        <w:rPr>
          <w:sz w:val="26"/>
          <w:szCs w:val="26"/>
        </w:rPr>
      </w:pPr>
      <w:r>
        <w:rPr>
          <w:sz w:val="26"/>
          <w:szCs w:val="26"/>
        </w:rPr>
        <w:t xml:space="preserve">Segundo esses critérios, o PNLT de 2007 </w:t>
      </w:r>
      <w:r w:rsidRPr="00313699">
        <w:rPr>
          <w:sz w:val="26"/>
          <w:szCs w:val="26"/>
        </w:rPr>
        <w:t>estabeleceu portfólio de investimentos em infraestrutura</w:t>
      </w:r>
      <w:r>
        <w:rPr>
          <w:sz w:val="26"/>
          <w:szCs w:val="26"/>
        </w:rPr>
        <w:t xml:space="preserve"> </w:t>
      </w:r>
      <w:r w:rsidRPr="00313699">
        <w:rPr>
          <w:sz w:val="26"/>
          <w:szCs w:val="26"/>
        </w:rPr>
        <w:t xml:space="preserve">para o País, até 2023, </w:t>
      </w:r>
      <w:r>
        <w:rPr>
          <w:sz w:val="26"/>
          <w:szCs w:val="26"/>
        </w:rPr>
        <w:t xml:space="preserve">que </w:t>
      </w:r>
      <w:r w:rsidRPr="00313699">
        <w:rPr>
          <w:sz w:val="26"/>
          <w:szCs w:val="26"/>
        </w:rPr>
        <w:t>exigir</w:t>
      </w:r>
      <w:r>
        <w:rPr>
          <w:sz w:val="26"/>
          <w:szCs w:val="26"/>
        </w:rPr>
        <w:t>iam</w:t>
      </w:r>
      <w:r w:rsidRPr="00313699">
        <w:rPr>
          <w:sz w:val="26"/>
          <w:szCs w:val="26"/>
        </w:rPr>
        <w:t xml:space="preserve"> recursos da ordem de R$</w:t>
      </w:r>
      <w:r>
        <w:rPr>
          <w:sz w:val="26"/>
          <w:szCs w:val="26"/>
        </w:rPr>
        <w:t xml:space="preserve"> </w:t>
      </w:r>
      <w:r w:rsidRPr="00313699">
        <w:rPr>
          <w:sz w:val="26"/>
          <w:szCs w:val="26"/>
        </w:rPr>
        <w:t>172 bilhões</w:t>
      </w:r>
      <w:r>
        <w:rPr>
          <w:rStyle w:val="Refdenotaderodap"/>
          <w:sz w:val="26"/>
          <w:szCs w:val="26"/>
        </w:rPr>
        <w:footnoteReference w:id="4"/>
      </w:r>
      <w:r w:rsidRPr="00313699">
        <w:rPr>
          <w:sz w:val="26"/>
          <w:szCs w:val="26"/>
        </w:rPr>
        <w:t>, o que representa</w:t>
      </w:r>
      <w:r>
        <w:rPr>
          <w:sz w:val="26"/>
          <w:szCs w:val="26"/>
        </w:rPr>
        <w:t>va</w:t>
      </w:r>
      <w:r w:rsidRPr="00313699">
        <w:rPr>
          <w:sz w:val="26"/>
          <w:szCs w:val="26"/>
        </w:rPr>
        <w:t xml:space="preserve"> 0,4% do PIB estimado para o período (R$ 44,6 trilhões).</w:t>
      </w:r>
      <w:r>
        <w:rPr>
          <w:sz w:val="26"/>
          <w:szCs w:val="26"/>
        </w:rPr>
        <w:t xml:space="preserve"> </w:t>
      </w:r>
      <w:r w:rsidRPr="00313699">
        <w:rPr>
          <w:sz w:val="26"/>
          <w:szCs w:val="26"/>
        </w:rPr>
        <w:t>Os maiores investimentos ser</w:t>
      </w:r>
      <w:r>
        <w:rPr>
          <w:sz w:val="26"/>
          <w:szCs w:val="26"/>
        </w:rPr>
        <w:t>iam</w:t>
      </w:r>
      <w:r w:rsidRPr="00313699">
        <w:rPr>
          <w:sz w:val="26"/>
          <w:szCs w:val="26"/>
        </w:rPr>
        <w:t xml:space="preserve"> no modal rodoviário – 43% (total de 43,2 mil km) – seguido</w:t>
      </w:r>
      <w:r>
        <w:rPr>
          <w:sz w:val="26"/>
          <w:szCs w:val="26"/>
        </w:rPr>
        <w:t xml:space="preserve"> </w:t>
      </w:r>
      <w:r w:rsidRPr="00313699">
        <w:rPr>
          <w:sz w:val="26"/>
          <w:szCs w:val="26"/>
        </w:rPr>
        <w:t xml:space="preserve">do ferroviário, com aproximadamente 30% (total de 20,2 mil km). A seguir </w:t>
      </w:r>
      <w:r>
        <w:rPr>
          <w:sz w:val="26"/>
          <w:szCs w:val="26"/>
        </w:rPr>
        <w:t>viria</w:t>
      </w:r>
      <w:r w:rsidRPr="00313699">
        <w:rPr>
          <w:sz w:val="26"/>
          <w:szCs w:val="26"/>
        </w:rPr>
        <w:t xml:space="preserve"> o portuário,</w:t>
      </w:r>
      <w:r>
        <w:rPr>
          <w:sz w:val="26"/>
          <w:szCs w:val="26"/>
        </w:rPr>
        <w:t xml:space="preserve"> </w:t>
      </w:r>
      <w:r w:rsidRPr="00313699">
        <w:rPr>
          <w:sz w:val="26"/>
          <w:szCs w:val="26"/>
        </w:rPr>
        <w:t>com 14,6% (169 intervenções), o hidroviário, com 7,4% (total de 14,5 mil km), e o</w:t>
      </w:r>
      <w:r>
        <w:rPr>
          <w:sz w:val="26"/>
          <w:szCs w:val="26"/>
        </w:rPr>
        <w:t xml:space="preserve"> </w:t>
      </w:r>
      <w:r w:rsidRPr="00313699">
        <w:rPr>
          <w:sz w:val="26"/>
          <w:szCs w:val="26"/>
        </w:rPr>
        <w:t>aeroportuário, com 5,6% (40 intervenções)</w:t>
      </w:r>
      <w:r>
        <w:rPr>
          <w:sz w:val="26"/>
          <w:szCs w:val="26"/>
        </w:rPr>
        <w:t>.</w:t>
      </w:r>
    </w:p>
    <w:p w:rsidR="00C72598" w:rsidRDefault="00C72598" w:rsidP="00C72598">
      <w:pPr>
        <w:spacing w:after="360"/>
        <w:ind w:firstLine="1418"/>
        <w:jc w:val="both"/>
        <w:rPr>
          <w:sz w:val="26"/>
          <w:szCs w:val="26"/>
        </w:rPr>
      </w:pPr>
      <w:r>
        <w:rPr>
          <w:sz w:val="26"/>
          <w:szCs w:val="26"/>
        </w:rPr>
        <w:t>Como dito anteriormente, o PNLT sofreu revisão em 2009, todavia, em razão de seu caráter intermediário, analisar</w:t>
      </w:r>
      <w:r w:rsidR="004F6365">
        <w:rPr>
          <w:sz w:val="26"/>
          <w:szCs w:val="26"/>
        </w:rPr>
        <w:t>e</w:t>
      </w:r>
      <w:r>
        <w:rPr>
          <w:sz w:val="26"/>
          <w:szCs w:val="26"/>
        </w:rPr>
        <w:t xml:space="preserve">mos a última versão do PNLT, editada em 2011. Esta versão de 2011 mantinha como </w:t>
      </w:r>
      <w:r w:rsidRPr="00803169">
        <w:rPr>
          <w:sz w:val="26"/>
          <w:szCs w:val="26"/>
        </w:rPr>
        <w:t xml:space="preserve">principal objetivo </w:t>
      </w:r>
      <w:r>
        <w:rPr>
          <w:sz w:val="26"/>
          <w:szCs w:val="26"/>
        </w:rPr>
        <w:t xml:space="preserve">a </w:t>
      </w:r>
      <w:r w:rsidRPr="00803169">
        <w:rPr>
          <w:sz w:val="26"/>
          <w:szCs w:val="26"/>
        </w:rPr>
        <w:t>formaliza</w:t>
      </w:r>
      <w:r>
        <w:rPr>
          <w:sz w:val="26"/>
          <w:szCs w:val="26"/>
        </w:rPr>
        <w:t xml:space="preserve">ção </w:t>
      </w:r>
      <w:r w:rsidRPr="00803169">
        <w:rPr>
          <w:sz w:val="26"/>
          <w:szCs w:val="26"/>
        </w:rPr>
        <w:t>e pereniza</w:t>
      </w:r>
      <w:r>
        <w:rPr>
          <w:sz w:val="26"/>
          <w:szCs w:val="26"/>
        </w:rPr>
        <w:t>ção de</w:t>
      </w:r>
      <w:r w:rsidRPr="00803169">
        <w:rPr>
          <w:sz w:val="26"/>
          <w:szCs w:val="26"/>
        </w:rPr>
        <w:t xml:space="preserve"> instrumentos de análise para dar suporte ao planejamento de intervenções públicas e privadas na infraestrutura e na organização dos transportes</w:t>
      </w:r>
      <w:r>
        <w:rPr>
          <w:sz w:val="26"/>
          <w:szCs w:val="26"/>
        </w:rPr>
        <w:t xml:space="preserve"> e </w:t>
      </w:r>
      <w:r w:rsidRPr="00803169">
        <w:rPr>
          <w:sz w:val="26"/>
          <w:szCs w:val="26"/>
        </w:rPr>
        <w:t>elaboração dos Planos Plurianuais (PPA)</w:t>
      </w:r>
      <w:r>
        <w:rPr>
          <w:sz w:val="26"/>
          <w:szCs w:val="26"/>
        </w:rPr>
        <w:t>, mas também,</w:t>
      </w:r>
      <w:r w:rsidRPr="00803169">
        <w:rPr>
          <w:sz w:val="26"/>
          <w:szCs w:val="26"/>
        </w:rPr>
        <w:t xml:space="preserve"> como eventual subsídio para a definição da composição do portfólio de projetos integrantes do Programa de Aceleração do Crescimento (PAC)</w:t>
      </w:r>
      <w:r>
        <w:rPr>
          <w:sz w:val="26"/>
          <w:szCs w:val="26"/>
        </w:rPr>
        <w:t xml:space="preserve">, que havia sido criado </w:t>
      </w:r>
      <w:r w:rsidR="004F6365">
        <w:rPr>
          <w:sz w:val="26"/>
          <w:szCs w:val="26"/>
        </w:rPr>
        <w:t>em 2007</w:t>
      </w:r>
      <w:r>
        <w:rPr>
          <w:sz w:val="26"/>
          <w:szCs w:val="26"/>
        </w:rPr>
        <w:t>, mas do qual se esperava certa continuidade.</w:t>
      </w:r>
    </w:p>
    <w:p w:rsidR="00C72598" w:rsidRDefault="00C72598" w:rsidP="00C72598">
      <w:pPr>
        <w:spacing w:after="360"/>
        <w:ind w:firstLine="1418"/>
        <w:jc w:val="both"/>
        <w:rPr>
          <w:sz w:val="26"/>
          <w:szCs w:val="26"/>
        </w:rPr>
      </w:pPr>
      <w:r>
        <w:rPr>
          <w:sz w:val="26"/>
          <w:szCs w:val="26"/>
        </w:rPr>
        <w:t>O</w:t>
      </w:r>
      <w:r w:rsidRPr="00803169">
        <w:rPr>
          <w:sz w:val="26"/>
          <w:szCs w:val="26"/>
        </w:rPr>
        <w:t xml:space="preserve"> núcleo central do PNLT</w:t>
      </w:r>
      <w:r>
        <w:rPr>
          <w:sz w:val="26"/>
          <w:szCs w:val="26"/>
        </w:rPr>
        <w:t xml:space="preserve"> 2011</w:t>
      </w:r>
      <w:r w:rsidRPr="00803169">
        <w:rPr>
          <w:sz w:val="26"/>
          <w:szCs w:val="26"/>
        </w:rPr>
        <w:t xml:space="preserve"> encontra</w:t>
      </w:r>
      <w:r>
        <w:rPr>
          <w:sz w:val="26"/>
          <w:szCs w:val="26"/>
        </w:rPr>
        <w:t>va</w:t>
      </w:r>
      <w:r w:rsidRPr="00803169">
        <w:rPr>
          <w:sz w:val="26"/>
          <w:szCs w:val="26"/>
        </w:rPr>
        <w:t>-se na definição de projetos a serem realizados nas várias modalidades de transporte ao longo da sua execução, contemplando curto, médio e longo prazo</w:t>
      </w:r>
      <w:r>
        <w:rPr>
          <w:sz w:val="26"/>
          <w:szCs w:val="26"/>
        </w:rPr>
        <w:t xml:space="preserve"> – até 2031,</w:t>
      </w:r>
      <w:r w:rsidRPr="00F77C56">
        <w:t xml:space="preserve"> </w:t>
      </w:r>
      <w:r w:rsidRPr="00F77C56">
        <w:rPr>
          <w:sz w:val="26"/>
          <w:szCs w:val="26"/>
        </w:rPr>
        <w:t>cobrindo dessa forma mais dois PPAs (2024-2027 e 2028-2031)</w:t>
      </w:r>
      <w:r>
        <w:rPr>
          <w:sz w:val="26"/>
          <w:szCs w:val="26"/>
        </w:rPr>
        <w:t xml:space="preserve">, enquanto o horizonte temporal do PNLT 2009 era 2023 –, o que resultou em uma lista de </w:t>
      </w:r>
      <w:r w:rsidRPr="00803169">
        <w:rPr>
          <w:sz w:val="26"/>
          <w:szCs w:val="26"/>
        </w:rPr>
        <w:t>1.167 projetos que passaram a constituir o Portfólio de Projetos do PNLT 2011</w:t>
      </w:r>
      <w:r>
        <w:rPr>
          <w:sz w:val="26"/>
          <w:szCs w:val="26"/>
        </w:rPr>
        <w:t>, classificados nos seguintes grupos ou categorias:</w:t>
      </w:r>
    </w:p>
    <w:p w:rsidR="00C72598" w:rsidRPr="00F77C56" w:rsidRDefault="00C72598" w:rsidP="00C72598">
      <w:pPr>
        <w:numPr>
          <w:ilvl w:val="0"/>
          <w:numId w:val="7"/>
        </w:numPr>
        <w:spacing w:after="360"/>
        <w:jc w:val="both"/>
        <w:rPr>
          <w:sz w:val="26"/>
          <w:szCs w:val="26"/>
        </w:rPr>
      </w:pPr>
      <w:r w:rsidRPr="00F77C56">
        <w:rPr>
          <w:b/>
          <w:sz w:val="26"/>
          <w:szCs w:val="26"/>
        </w:rPr>
        <w:t>Prioritários</w:t>
      </w:r>
      <w:r>
        <w:rPr>
          <w:sz w:val="26"/>
          <w:szCs w:val="26"/>
        </w:rPr>
        <w:t xml:space="preserve">. </w:t>
      </w:r>
      <w:r w:rsidRPr="00F77C56">
        <w:rPr>
          <w:sz w:val="26"/>
          <w:szCs w:val="26"/>
        </w:rPr>
        <w:t>111 projetos avaliados e considerados como prioritários em função de sua maior viabilidade econômica (T</w:t>
      </w:r>
      <w:r>
        <w:rPr>
          <w:sz w:val="26"/>
          <w:szCs w:val="26"/>
        </w:rPr>
        <w:t xml:space="preserve">axa Interna de Retorno </w:t>
      </w:r>
      <w:r w:rsidRPr="00F77C56">
        <w:rPr>
          <w:sz w:val="26"/>
          <w:szCs w:val="26"/>
        </w:rPr>
        <w:t>maior ou igual a 8% ao ano);</w:t>
      </w:r>
    </w:p>
    <w:p w:rsidR="00C72598" w:rsidRPr="00F77C56" w:rsidRDefault="00C72598" w:rsidP="00C72598">
      <w:pPr>
        <w:numPr>
          <w:ilvl w:val="0"/>
          <w:numId w:val="7"/>
        </w:numPr>
        <w:spacing w:after="360"/>
        <w:jc w:val="both"/>
        <w:rPr>
          <w:sz w:val="26"/>
          <w:szCs w:val="26"/>
        </w:rPr>
      </w:pPr>
      <w:r w:rsidRPr="00F77C56">
        <w:rPr>
          <w:b/>
          <w:sz w:val="26"/>
          <w:szCs w:val="26"/>
        </w:rPr>
        <w:t>Sociopolíticos</w:t>
      </w:r>
      <w:r>
        <w:rPr>
          <w:sz w:val="26"/>
          <w:szCs w:val="26"/>
        </w:rPr>
        <w:t xml:space="preserve">. </w:t>
      </w:r>
      <w:r w:rsidRPr="00F77C56">
        <w:rPr>
          <w:sz w:val="26"/>
          <w:szCs w:val="26"/>
        </w:rPr>
        <w:t>237 projetos avaliados como tendo menor viabilidade econômica, mas cuja implantação justifica-se igualmente em função de outros aspectos não explicitamente considerados na avaliação econômica, como valores e interesses de caráter sociopolítico, ambiental, tecnológico ou desenvolvimento regional.</w:t>
      </w:r>
    </w:p>
    <w:p w:rsidR="00C72598" w:rsidRPr="00F77C56" w:rsidRDefault="00C72598" w:rsidP="00C72598">
      <w:pPr>
        <w:numPr>
          <w:ilvl w:val="0"/>
          <w:numId w:val="7"/>
        </w:numPr>
        <w:spacing w:after="360"/>
        <w:jc w:val="both"/>
        <w:rPr>
          <w:sz w:val="26"/>
          <w:szCs w:val="26"/>
        </w:rPr>
      </w:pPr>
      <w:r w:rsidRPr="00F77C56">
        <w:rPr>
          <w:b/>
          <w:sz w:val="26"/>
          <w:szCs w:val="26"/>
        </w:rPr>
        <w:t>PAC</w:t>
      </w:r>
      <w:r>
        <w:rPr>
          <w:sz w:val="26"/>
          <w:szCs w:val="26"/>
        </w:rPr>
        <w:t xml:space="preserve">. </w:t>
      </w:r>
      <w:r w:rsidRPr="00F77C56">
        <w:rPr>
          <w:sz w:val="26"/>
          <w:szCs w:val="26"/>
        </w:rPr>
        <w:t>231 projetos não avaliados por pertencerem ao Programa de Aceleração do Crescimento e com previsão de implantação já definida; e</w:t>
      </w:r>
    </w:p>
    <w:p w:rsidR="00C72598" w:rsidRDefault="00C72598" w:rsidP="00C72598">
      <w:pPr>
        <w:numPr>
          <w:ilvl w:val="0"/>
          <w:numId w:val="7"/>
        </w:numPr>
        <w:spacing w:after="360"/>
        <w:jc w:val="both"/>
        <w:rPr>
          <w:sz w:val="26"/>
          <w:szCs w:val="26"/>
        </w:rPr>
      </w:pPr>
      <w:r w:rsidRPr="00F77C56">
        <w:rPr>
          <w:b/>
          <w:sz w:val="26"/>
          <w:szCs w:val="26"/>
        </w:rPr>
        <w:t>Não avaliados</w:t>
      </w:r>
      <w:r>
        <w:rPr>
          <w:sz w:val="26"/>
          <w:szCs w:val="26"/>
        </w:rPr>
        <w:t xml:space="preserve">. </w:t>
      </w:r>
      <w:r w:rsidRPr="00F77C56">
        <w:rPr>
          <w:sz w:val="26"/>
          <w:szCs w:val="26"/>
        </w:rPr>
        <w:t>588 projetos não avaliados em função da não disponibilidade completa de informações, como a impossibilidade de georreferenciamento ou a impossibilidade de simulação</w:t>
      </w:r>
      <w:r>
        <w:rPr>
          <w:sz w:val="26"/>
          <w:szCs w:val="26"/>
        </w:rPr>
        <w:t xml:space="preserve"> </w:t>
      </w:r>
      <w:r w:rsidRPr="00F77C56">
        <w:rPr>
          <w:sz w:val="26"/>
          <w:szCs w:val="26"/>
        </w:rPr>
        <w:t xml:space="preserve">segundo o método de simulação </w:t>
      </w:r>
      <w:r>
        <w:rPr>
          <w:sz w:val="26"/>
          <w:szCs w:val="26"/>
        </w:rPr>
        <w:t>tradicionalmente adotado nas edições anteriores do PNLT</w:t>
      </w:r>
      <w:r w:rsidRPr="00F77C56">
        <w:rPr>
          <w:sz w:val="26"/>
          <w:szCs w:val="26"/>
        </w:rPr>
        <w:t>, como projetos portuários, aeroviários e de terminais.</w:t>
      </w:r>
    </w:p>
    <w:p w:rsidR="00C72598" w:rsidRDefault="00C72598" w:rsidP="00C72598">
      <w:pPr>
        <w:spacing w:after="360"/>
        <w:jc w:val="both"/>
        <w:rPr>
          <w:sz w:val="26"/>
          <w:szCs w:val="26"/>
        </w:rPr>
      </w:pPr>
    </w:p>
    <w:p w:rsidR="00C72598" w:rsidRDefault="004C3BEA" w:rsidP="00C72598">
      <w:pPr>
        <w:keepNext/>
        <w:spacing w:after="360"/>
        <w:jc w:val="both"/>
      </w:pPr>
      <w:r w:rsidRPr="008B4BE1">
        <w:rPr>
          <w:noProof/>
          <w:sz w:val="26"/>
          <w:szCs w:val="26"/>
        </w:rPr>
        <w:drawing>
          <wp:inline distT="0" distB="0" distL="0" distR="0">
            <wp:extent cx="5581650" cy="26289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2628900"/>
                    </a:xfrm>
                    <a:prstGeom prst="rect">
                      <a:avLst/>
                    </a:prstGeom>
                    <a:noFill/>
                    <a:ln>
                      <a:noFill/>
                    </a:ln>
                  </pic:spPr>
                </pic:pic>
              </a:graphicData>
            </a:graphic>
          </wp:inline>
        </w:drawing>
      </w:r>
    </w:p>
    <w:p w:rsidR="00C72598" w:rsidRDefault="00C72598" w:rsidP="00C72598">
      <w:pPr>
        <w:pStyle w:val="Legenda"/>
        <w:jc w:val="both"/>
        <w:rPr>
          <w:sz w:val="26"/>
          <w:szCs w:val="26"/>
        </w:rPr>
      </w:pPr>
      <w:r>
        <w:t xml:space="preserve">Figura </w:t>
      </w:r>
      <w:fldSimple w:instr=" SEQ Figura \* ARABIC ">
        <w:r w:rsidR="00780B83">
          <w:rPr>
            <w:noProof/>
          </w:rPr>
          <w:t>4</w:t>
        </w:r>
      </w:fldSimple>
      <w:r>
        <w:t xml:space="preserve"> - Formação do portfólio de investimentos do PNLT 2011</w:t>
      </w:r>
    </w:p>
    <w:p w:rsidR="00C72598" w:rsidRDefault="00C72598" w:rsidP="00C72598">
      <w:pPr>
        <w:spacing w:after="360"/>
        <w:jc w:val="both"/>
        <w:rPr>
          <w:sz w:val="26"/>
          <w:szCs w:val="26"/>
        </w:rPr>
      </w:pPr>
    </w:p>
    <w:p w:rsidR="008B4BE1" w:rsidRPr="000476A7" w:rsidRDefault="008B4BE1" w:rsidP="00257553">
      <w:pPr>
        <w:spacing w:after="360"/>
        <w:jc w:val="both"/>
        <w:rPr>
          <w:sz w:val="26"/>
          <w:szCs w:val="26"/>
        </w:rPr>
      </w:pPr>
    </w:p>
    <w:p w:rsidR="00C535BE" w:rsidRPr="000476A7" w:rsidRDefault="008E1546" w:rsidP="00C535BE">
      <w:pPr>
        <w:pStyle w:val="Ttulo0"/>
        <w:rPr>
          <w:sz w:val="26"/>
          <w:szCs w:val="26"/>
        </w:rPr>
      </w:pPr>
      <w:bookmarkStart w:id="7" w:name="_Toc442974378"/>
      <w:r>
        <w:rPr>
          <w:sz w:val="26"/>
          <w:szCs w:val="26"/>
        </w:rPr>
        <w:t>3</w:t>
      </w:r>
      <w:r w:rsidR="00C535BE" w:rsidRPr="000476A7">
        <w:rPr>
          <w:sz w:val="26"/>
          <w:szCs w:val="26"/>
        </w:rPr>
        <w:t xml:space="preserve">.1 </w:t>
      </w:r>
      <w:r w:rsidR="008B501C">
        <w:rPr>
          <w:sz w:val="26"/>
          <w:szCs w:val="26"/>
        </w:rPr>
        <w:t xml:space="preserve">O Cenário </w:t>
      </w:r>
      <w:r w:rsidR="00BC63F1" w:rsidRPr="000476A7">
        <w:rPr>
          <w:sz w:val="26"/>
          <w:szCs w:val="26"/>
        </w:rPr>
        <w:t>de Transportes</w:t>
      </w:r>
      <w:bookmarkEnd w:id="7"/>
    </w:p>
    <w:p w:rsidR="00313699" w:rsidRPr="000476A7" w:rsidRDefault="00313699" w:rsidP="00313699">
      <w:pPr>
        <w:spacing w:after="360"/>
        <w:ind w:firstLine="1418"/>
        <w:jc w:val="both"/>
        <w:rPr>
          <w:iCs/>
          <w:sz w:val="26"/>
          <w:szCs w:val="26"/>
        </w:rPr>
      </w:pPr>
      <w:r w:rsidRPr="000476A7">
        <w:rPr>
          <w:iCs/>
          <w:sz w:val="26"/>
          <w:szCs w:val="26"/>
        </w:rPr>
        <w:t>O transporte é um direito social garantido pela Constituição Federal a partir da Emenda Constitucional nº 90, de 15 de setembro de 2015. Todavia, um sistema eficiente de transporte é uma necessidade econômica, sem a qual a vida em sociedade não é possível de forma satisfatória. A qualidade e a quantidade da infraestrutura de transportes de carga e de passageiros têm relevante papel no desenvolvimento dos demais setores da economia</w:t>
      </w:r>
      <w:r w:rsidR="00060FD5">
        <w:rPr>
          <w:iCs/>
          <w:sz w:val="26"/>
          <w:szCs w:val="26"/>
        </w:rPr>
        <w:t>, pois o custo final das mercadorias depende do custo do transporte.</w:t>
      </w:r>
    </w:p>
    <w:p w:rsidR="004F6365" w:rsidRDefault="008B501C" w:rsidP="00C535BE">
      <w:pPr>
        <w:spacing w:after="360"/>
        <w:ind w:firstLine="1418"/>
        <w:jc w:val="both"/>
        <w:rPr>
          <w:sz w:val="26"/>
          <w:szCs w:val="26"/>
        </w:rPr>
      </w:pPr>
      <w:r>
        <w:rPr>
          <w:sz w:val="26"/>
          <w:szCs w:val="26"/>
        </w:rPr>
        <w:t>Assim, o</w:t>
      </w:r>
      <w:r w:rsidR="008D5A1F" w:rsidRPr="000476A7">
        <w:rPr>
          <w:sz w:val="26"/>
          <w:szCs w:val="26"/>
        </w:rPr>
        <w:t xml:space="preserve"> desenvolvimento de um país está diretamente ligado à disponibilidade de infraestrutura de transportes, pois, a qualidade e as dimensões d</w:t>
      </w:r>
      <w:r w:rsidR="001B21D4" w:rsidRPr="000476A7">
        <w:rPr>
          <w:sz w:val="26"/>
          <w:szCs w:val="26"/>
        </w:rPr>
        <w:t xml:space="preserve">essa </w:t>
      </w:r>
      <w:r w:rsidR="008D5A1F" w:rsidRPr="000476A7">
        <w:rPr>
          <w:sz w:val="26"/>
          <w:szCs w:val="26"/>
        </w:rPr>
        <w:t xml:space="preserve">infraestrutura condicionam e fomentam as demais áreas da economia. </w:t>
      </w:r>
    </w:p>
    <w:p w:rsidR="008B501C" w:rsidRDefault="008D5A1F" w:rsidP="001837CC">
      <w:pPr>
        <w:spacing w:after="360"/>
        <w:ind w:firstLine="1418"/>
        <w:jc w:val="both"/>
        <w:rPr>
          <w:sz w:val="26"/>
          <w:szCs w:val="26"/>
        </w:rPr>
      </w:pPr>
      <w:r w:rsidRPr="000476A7">
        <w:rPr>
          <w:sz w:val="26"/>
          <w:szCs w:val="26"/>
        </w:rPr>
        <w:t xml:space="preserve">Os setores produtores de </w:t>
      </w:r>
      <w:r w:rsidRPr="001837CC">
        <w:rPr>
          <w:sz w:val="26"/>
          <w:szCs w:val="26"/>
        </w:rPr>
        <w:t>commodities</w:t>
      </w:r>
      <w:r w:rsidRPr="000476A7">
        <w:rPr>
          <w:sz w:val="26"/>
          <w:szCs w:val="26"/>
        </w:rPr>
        <w:t xml:space="preserve"> (agrícolas e minerais) são significativamente limitados pela infraestrutura de transportes, uma vez que </w:t>
      </w:r>
      <w:r w:rsidR="00EE0EC0" w:rsidRPr="000476A7">
        <w:rPr>
          <w:sz w:val="26"/>
          <w:szCs w:val="26"/>
        </w:rPr>
        <w:t xml:space="preserve">o valor dos produtos é baixo </w:t>
      </w:r>
      <w:r w:rsidRPr="000476A7">
        <w:rPr>
          <w:sz w:val="26"/>
          <w:szCs w:val="26"/>
        </w:rPr>
        <w:t xml:space="preserve">em relação ao volume transportado, de maneira que o custo do transporte tem impacto relevante no custo final da </w:t>
      </w:r>
      <w:r w:rsidRPr="001837CC">
        <w:rPr>
          <w:sz w:val="26"/>
          <w:szCs w:val="26"/>
        </w:rPr>
        <w:t>commodity</w:t>
      </w:r>
      <w:r w:rsidRPr="000476A7">
        <w:rPr>
          <w:sz w:val="26"/>
          <w:szCs w:val="26"/>
        </w:rPr>
        <w:t>.</w:t>
      </w:r>
      <w:r w:rsidR="001B21D4" w:rsidRPr="000476A7">
        <w:rPr>
          <w:sz w:val="26"/>
          <w:szCs w:val="26"/>
        </w:rPr>
        <w:t xml:space="preserve"> No entanto, o Brasil, notório exportador de </w:t>
      </w:r>
      <w:r w:rsidR="001B21D4" w:rsidRPr="001837CC">
        <w:rPr>
          <w:sz w:val="26"/>
          <w:szCs w:val="26"/>
        </w:rPr>
        <w:t>commodities</w:t>
      </w:r>
      <w:r w:rsidR="001B21D4" w:rsidRPr="000476A7">
        <w:rPr>
          <w:sz w:val="26"/>
          <w:szCs w:val="26"/>
        </w:rPr>
        <w:t xml:space="preserve">, não dispõe de uma matriz de transportes equilibrada, isto é, alicerçada em meios mais econômicos de transportes de cargas. Por razões históricas ligadas ao fomento da indústria automotiva, a matriz de transportes brasileira migrou do modal ferroviário e </w:t>
      </w:r>
      <w:r w:rsidR="004F6365">
        <w:rPr>
          <w:sz w:val="26"/>
          <w:szCs w:val="26"/>
        </w:rPr>
        <w:t>aquaviário</w:t>
      </w:r>
      <w:r w:rsidR="001B21D4" w:rsidRPr="000476A7">
        <w:rPr>
          <w:sz w:val="26"/>
          <w:szCs w:val="26"/>
        </w:rPr>
        <w:t xml:space="preserve"> para o modal rodoviário</w:t>
      </w:r>
      <w:r w:rsidR="0030238B" w:rsidRPr="000476A7">
        <w:rPr>
          <w:sz w:val="26"/>
          <w:szCs w:val="26"/>
        </w:rPr>
        <w:t xml:space="preserve"> ao longo de todo século XX</w:t>
      </w:r>
      <w:r w:rsidR="001B21D4" w:rsidRPr="000476A7">
        <w:rPr>
          <w:sz w:val="26"/>
          <w:szCs w:val="26"/>
        </w:rPr>
        <w:t>, principalmente a partir dos anos 1950.</w:t>
      </w:r>
    </w:p>
    <w:p w:rsidR="001B21D4" w:rsidRDefault="00D11544" w:rsidP="00C535BE">
      <w:pPr>
        <w:spacing w:after="360"/>
        <w:ind w:firstLine="1418"/>
        <w:jc w:val="both"/>
        <w:rPr>
          <w:sz w:val="26"/>
          <w:szCs w:val="26"/>
        </w:rPr>
      </w:pPr>
      <w:r>
        <w:rPr>
          <w:sz w:val="26"/>
          <w:szCs w:val="26"/>
        </w:rPr>
        <w:t>O</w:t>
      </w:r>
      <w:r w:rsidR="00714F66" w:rsidRPr="000476A7">
        <w:rPr>
          <w:sz w:val="26"/>
          <w:szCs w:val="26"/>
        </w:rPr>
        <w:t xml:space="preserve"> PNLT pretendia apresentar uma lista indicativa</w:t>
      </w:r>
      <w:r w:rsidR="008B501C">
        <w:rPr>
          <w:sz w:val="26"/>
          <w:szCs w:val="26"/>
        </w:rPr>
        <w:t xml:space="preserve">, produzida sobre alicerces técnico-científicos, </w:t>
      </w:r>
      <w:r w:rsidR="00714F66" w:rsidRPr="000476A7">
        <w:rPr>
          <w:sz w:val="26"/>
          <w:szCs w:val="26"/>
        </w:rPr>
        <w:t xml:space="preserve">de investimentos </w:t>
      </w:r>
      <w:r w:rsidR="008B501C">
        <w:rPr>
          <w:sz w:val="26"/>
          <w:szCs w:val="26"/>
        </w:rPr>
        <w:t xml:space="preserve">prioritários </w:t>
      </w:r>
      <w:r w:rsidR="00714F66" w:rsidRPr="000476A7">
        <w:rPr>
          <w:sz w:val="26"/>
          <w:szCs w:val="26"/>
        </w:rPr>
        <w:t>que pudessem reequilibrar a matriz de transportes em termos m</w:t>
      </w:r>
      <w:r w:rsidR="008B501C">
        <w:rPr>
          <w:sz w:val="26"/>
          <w:szCs w:val="26"/>
        </w:rPr>
        <w:t>ais econômicos para a sociedade, a fim de superar tanto a falta de planejamento sistemático das décadas anteriores quanto a qualidade e quantidade da infraestrutura de transportes brasileira.</w:t>
      </w:r>
    </w:p>
    <w:p w:rsidR="001B21D4" w:rsidRPr="000476A7" w:rsidRDefault="00500DA0" w:rsidP="00EA516E">
      <w:pPr>
        <w:spacing w:after="360"/>
        <w:ind w:firstLine="1418"/>
        <w:jc w:val="both"/>
        <w:rPr>
          <w:sz w:val="26"/>
          <w:szCs w:val="26"/>
        </w:rPr>
      </w:pPr>
      <w:r w:rsidRPr="000476A7">
        <w:rPr>
          <w:sz w:val="26"/>
          <w:szCs w:val="26"/>
        </w:rPr>
        <w:t>Em termos de toneladas-quilômetro-úteis (TKU</w:t>
      </w:r>
      <w:r w:rsidRPr="000476A7">
        <w:rPr>
          <w:rStyle w:val="Refdenotaderodap"/>
          <w:sz w:val="26"/>
          <w:szCs w:val="26"/>
        </w:rPr>
        <w:footnoteReference w:id="5"/>
      </w:r>
      <w:r w:rsidRPr="000476A7">
        <w:rPr>
          <w:sz w:val="26"/>
          <w:szCs w:val="26"/>
        </w:rPr>
        <w:t>)</w:t>
      </w:r>
      <w:r w:rsidR="00EA516E" w:rsidRPr="000476A7">
        <w:rPr>
          <w:sz w:val="26"/>
          <w:szCs w:val="26"/>
        </w:rPr>
        <w:t>, a</w:t>
      </w:r>
      <w:r w:rsidR="006C3DA4" w:rsidRPr="000476A7">
        <w:rPr>
          <w:sz w:val="26"/>
          <w:szCs w:val="26"/>
        </w:rPr>
        <w:t xml:space="preserve"> </w:t>
      </w:r>
      <w:r w:rsidR="00EA516E" w:rsidRPr="000476A7">
        <w:rPr>
          <w:sz w:val="26"/>
          <w:szCs w:val="26"/>
        </w:rPr>
        <w:t xml:space="preserve">terceira </w:t>
      </w:r>
      <w:r w:rsidR="006C3DA4" w:rsidRPr="000476A7">
        <w:rPr>
          <w:sz w:val="26"/>
          <w:szCs w:val="26"/>
        </w:rPr>
        <w:t>e última versão do PNLT apresentou</w:t>
      </w:r>
      <w:r w:rsidRPr="000476A7">
        <w:rPr>
          <w:sz w:val="26"/>
          <w:szCs w:val="26"/>
        </w:rPr>
        <w:t xml:space="preserve"> o modo rodoviário </w:t>
      </w:r>
      <w:r w:rsidR="006C3DA4" w:rsidRPr="000476A7">
        <w:rPr>
          <w:sz w:val="26"/>
          <w:szCs w:val="26"/>
        </w:rPr>
        <w:t>como</w:t>
      </w:r>
      <w:r w:rsidRPr="000476A7">
        <w:rPr>
          <w:sz w:val="26"/>
          <w:szCs w:val="26"/>
        </w:rPr>
        <w:t xml:space="preserve"> responsável por 52% da carga transportada, </w:t>
      </w:r>
      <w:r w:rsidR="006C3DA4" w:rsidRPr="000476A7">
        <w:rPr>
          <w:sz w:val="26"/>
          <w:szCs w:val="26"/>
        </w:rPr>
        <w:t xml:space="preserve">o ferroviário 30%, o aquaviário 13%, e o dutoviário 5%, conforme se </w:t>
      </w:r>
      <w:r w:rsidR="00D11544">
        <w:rPr>
          <w:sz w:val="26"/>
          <w:szCs w:val="26"/>
        </w:rPr>
        <w:t>visualiza n</w:t>
      </w:r>
      <w:r w:rsidR="003A60A4" w:rsidRPr="000476A7">
        <w:rPr>
          <w:sz w:val="26"/>
          <w:szCs w:val="26"/>
        </w:rPr>
        <w:t>a</w:t>
      </w:r>
      <w:r w:rsidR="006C3DA4" w:rsidRPr="000476A7">
        <w:rPr>
          <w:sz w:val="26"/>
          <w:szCs w:val="26"/>
        </w:rPr>
        <w:t xml:space="preserve"> seguinte </w:t>
      </w:r>
      <w:r w:rsidR="003A60A4" w:rsidRPr="000476A7">
        <w:rPr>
          <w:sz w:val="26"/>
          <w:szCs w:val="26"/>
        </w:rPr>
        <w:t>figura</w:t>
      </w:r>
      <w:r w:rsidR="006C3DA4" w:rsidRPr="000476A7">
        <w:rPr>
          <w:sz w:val="26"/>
          <w:szCs w:val="26"/>
        </w:rPr>
        <w:t xml:space="preserve">: </w:t>
      </w:r>
    </w:p>
    <w:p w:rsidR="00C535BE" w:rsidRPr="000476A7" w:rsidRDefault="004C3BEA" w:rsidP="00C535BE">
      <w:pPr>
        <w:keepNext/>
        <w:spacing w:after="360"/>
        <w:jc w:val="both"/>
        <w:rPr>
          <w:sz w:val="26"/>
          <w:szCs w:val="26"/>
        </w:rPr>
      </w:pPr>
      <w:r w:rsidRPr="000476A7">
        <w:rPr>
          <w:noProof/>
          <w:sz w:val="26"/>
          <w:szCs w:val="26"/>
        </w:rPr>
        <w:drawing>
          <wp:inline distT="0" distB="0" distL="0" distR="0">
            <wp:extent cx="5572125" cy="23145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2314575"/>
                    </a:xfrm>
                    <a:prstGeom prst="rect">
                      <a:avLst/>
                    </a:prstGeom>
                    <a:noFill/>
                    <a:ln>
                      <a:noFill/>
                    </a:ln>
                  </pic:spPr>
                </pic:pic>
              </a:graphicData>
            </a:graphic>
          </wp:inline>
        </w:drawing>
      </w:r>
    </w:p>
    <w:p w:rsidR="00C535BE" w:rsidRPr="00060FD5" w:rsidRDefault="00C535BE" w:rsidP="00C535BE">
      <w:pPr>
        <w:pStyle w:val="Legenda"/>
        <w:jc w:val="both"/>
      </w:pPr>
      <w:bookmarkStart w:id="8" w:name="_Toc437453017"/>
      <w:bookmarkStart w:id="9" w:name="_Toc437453024"/>
      <w:r w:rsidRPr="00060FD5">
        <w:t xml:space="preserve">Figura </w:t>
      </w:r>
      <w:fldSimple w:instr=" SEQ Figura \* ARABIC ">
        <w:r w:rsidR="00780B83">
          <w:rPr>
            <w:noProof/>
          </w:rPr>
          <w:t>5</w:t>
        </w:r>
      </w:fldSimple>
      <w:r w:rsidRPr="00060FD5">
        <w:t xml:space="preserve"> - Distribuição modal da matriz brasileira de transportes regionais de cargas em 2011.</w:t>
      </w:r>
      <w:bookmarkEnd w:id="8"/>
      <w:bookmarkEnd w:id="9"/>
    </w:p>
    <w:p w:rsidR="00C535BE" w:rsidRPr="00060FD5" w:rsidRDefault="00C535BE" w:rsidP="00C535BE">
      <w:pPr>
        <w:rPr>
          <w:sz w:val="20"/>
          <w:szCs w:val="20"/>
        </w:rPr>
      </w:pPr>
      <w:r w:rsidRPr="00060FD5">
        <w:rPr>
          <w:sz w:val="20"/>
          <w:szCs w:val="20"/>
        </w:rPr>
        <w:t>Fonte: PNLT, 2011.</w:t>
      </w:r>
    </w:p>
    <w:p w:rsidR="008B501C" w:rsidRDefault="008B501C" w:rsidP="008B501C">
      <w:pPr>
        <w:spacing w:after="360"/>
        <w:ind w:firstLine="1418"/>
        <w:jc w:val="both"/>
        <w:rPr>
          <w:sz w:val="26"/>
          <w:szCs w:val="26"/>
        </w:rPr>
      </w:pPr>
    </w:p>
    <w:p w:rsidR="00C33CF4" w:rsidRPr="000476A7" w:rsidRDefault="006C3DA4" w:rsidP="00212D07">
      <w:pPr>
        <w:spacing w:before="360" w:after="360"/>
        <w:ind w:firstLine="1418"/>
        <w:jc w:val="both"/>
        <w:rPr>
          <w:sz w:val="26"/>
          <w:szCs w:val="26"/>
        </w:rPr>
      </w:pPr>
      <w:r w:rsidRPr="000476A7">
        <w:rPr>
          <w:sz w:val="26"/>
          <w:szCs w:val="26"/>
        </w:rPr>
        <w:t>Entretanto, faz-se oportuno apontar que</w:t>
      </w:r>
      <w:r w:rsidR="00EE0EC0" w:rsidRPr="000476A7">
        <w:rPr>
          <w:sz w:val="26"/>
          <w:szCs w:val="26"/>
        </w:rPr>
        <w:t xml:space="preserve"> a</w:t>
      </w:r>
      <w:r w:rsidRPr="000476A7">
        <w:rPr>
          <w:sz w:val="26"/>
          <w:szCs w:val="26"/>
        </w:rPr>
        <w:t xml:space="preserve"> </w:t>
      </w:r>
      <w:r w:rsidR="00C33CF4" w:rsidRPr="000476A7">
        <w:rPr>
          <w:sz w:val="26"/>
          <w:szCs w:val="26"/>
        </w:rPr>
        <w:t xml:space="preserve">literatura especializada apresenta outros resultados para descrever </w:t>
      </w:r>
      <w:r w:rsidRPr="000476A7">
        <w:rPr>
          <w:sz w:val="26"/>
          <w:szCs w:val="26"/>
        </w:rPr>
        <w:t xml:space="preserve">a </w:t>
      </w:r>
      <w:r w:rsidR="00C33CF4" w:rsidRPr="000476A7">
        <w:rPr>
          <w:sz w:val="26"/>
          <w:szCs w:val="26"/>
        </w:rPr>
        <w:t>m</w:t>
      </w:r>
      <w:r w:rsidRPr="000476A7">
        <w:rPr>
          <w:sz w:val="26"/>
          <w:szCs w:val="26"/>
        </w:rPr>
        <w:t xml:space="preserve">atriz de </w:t>
      </w:r>
      <w:r w:rsidR="00C33CF4" w:rsidRPr="000476A7">
        <w:rPr>
          <w:sz w:val="26"/>
          <w:szCs w:val="26"/>
        </w:rPr>
        <w:t>t</w:t>
      </w:r>
      <w:r w:rsidRPr="000476A7">
        <w:rPr>
          <w:sz w:val="26"/>
          <w:szCs w:val="26"/>
        </w:rPr>
        <w:t>ransportes</w:t>
      </w:r>
      <w:r w:rsidR="00C33CF4" w:rsidRPr="000476A7">
        <w:rPr>
          <w:sz w:val="26"/>
          <w:szCs w:val="26"/>
        </w:rPr>
        <w:t>, cujas fontes, notadamente, vêm de instituições privadas como o Instituto I</w:t>
      </w:r>
      <w:r w:rsidR="00EA516E" w:rsidRPr="000476A7">
        <w:rPr>
          <w:sz w:val="26"/>
          <w:szCs w:val="26"/>
        </w:rPr>
        <w:t>LOS</w:t>
      </w:r>
      <w:r w:rsidR="00C33CF4" w:rsidRPr="000476A7">
        <w:rPr>
          <w:sz w:val="26"/>
          <w:szCs w:val="26"/>
        </w:rPr>
        <w:t xml:space="preserve"> e a Associação Brasileira de Concessionárias de Rodovias (ABCR). Esses levantamentos</w:t>
      </w:r>
      <w:r w:rsidR="00560224" w:rsidRPr="000476A7">
        <w:rPr>
          <w:sz w:val="26"/>
          <w:szCs w:val="26"/>
        </w:rPr>
        <w:t xml:space="preserve"> </w:t>
      </w:r>
      <w:r w:rsidR="001837CC">
        <w:rPr>
          <w:sz w:val="26"/>
          <w:szCs w:val="26"/>
        </w:rPr>
        <w:t>posteriores a</w:t>
      </w:r>
      <w:r w:rsidR="00C33CF4" w:rsidRPr="000476A7">
        <w:rPr>
          <w:sz w:val="26"/>
          <w:szCs w:val="26"/>
        </w:rPr>
        <w:t xml:space="preserve">o PNLT </w:t>
      </w:r>
      <w:r w:rsidR="001837CC">
        <w:rPr>
          <w:sz w:val="26"/>
          <w:szCs w:val="26"/>
        </w:rPr>
        <w:t xml:space="preserve">de 2007 </w:t>
      </w:r>
      <w:r w:rsidR="00C33CF4" w:rsidRPr="000476A7">
        <w:rPr>
          <w:sz w:val="26"/>
          <w:szCs w:val="26"/>
        </w:rPr>
        <w:t>apontam para uma maior dependência do modal rodoviário sobre os demais</w:t>
      </w:r>
      <w:r w:rsidR="00EE0EC0" w:rsidRPr="000476A7">
        <w:rPr>
          <w:sz w:val="26"/>
          <w:szCs w:val="26"/>
        </w:rPr>
        <w:t>,</w:t>
      </w:r>
      <w:r w:rsidR="00560224" w:rsidRPr="000476A7">
        <w:rPr>
          <w:sz w:val="26"/>
          <w:szCs w:val="26"/>
        </w:rPr>
        <w:t xml:space="preserve"> em percentual de TKU</w:t>
      </w:r>
      <w:r w:rsidR="00C33CF4" w:rsidRPr="000476A7">
        <w:rPr>
          <w:sz w:val="26"/>
          <w:szCs w:val="26"/>
        </w:rPr>
        <w:t>.</w:t>
      </w:r>
      <w:r w:rsidR="001837CC">
        <w:rPr>
          <w:sz w:val="26"/>
          <w:szCs w:val="26"/>
        </w:rPr>
        <w:t xml:space="preserve"> </w:t>
      </w:r>
      <w:r w:rsidR="00DF2A83">
        <w:rPr>
          <w:sz w:val="26"/>
          <w:szCs w:val="26"/>
        </w:rPr>
        <w:t>Destarte, a meta de reequilibrar a matriz de transportes não foi alcançada na vigência de execução do plano entre 2007-2011, pelo contrário, a matriz de transportes é atualmente mais desequilibrada do que era quando da idealização do plano, segundo os levantamentos da iniciativa privada.</w:t>
      </w:r>
    </w:p>
    <w:p w:rsidR="00560224" w:rsidRPr="00060FD5" w:rsidRDefault="00560224" w:rsidP="00560224">
      <w:pPr>
        <w:pStyle w:val="Legenda"/>
        <w:keepNext/>
      </w:pPr>
    </w:p>
    <w:p w:rsidR="000A4706" w:rsidRDefault="000A4706" w:rsidP="000A4706">
      <w:pPr>
        <w:pStyle w:val="Legenda"/>
        <w:keepNext/>
      </w:pPr>
      <w:r>
        <w:t xml:space="preserve">Tabela </w:t>
      </w:r>
      <w:fldSimple w:instr=" SEQ Tabela \* ARABIC ">
        <w:r w:rsidR="00780B83">
          <w:rPr>
            <w:noProof/>
          </w:rPr>
          <w:t>3</w:t>
        </w:r>
      </w:fldSimple>
      <w:r>
        <w:t xml:space="preserve"> - </w:t>
      </w:r>
      <w:r w:rsidRPr="00060FD5">
        <w:t>Distribuição da Matriz de Transportes em 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55"/>
        <w:gridCol w:w="1754"/>
        <w:gridCol w:w="1754"/>
        <w:gridCol w:w="1750"/>
      </w:tblGrid>
      <w:tr w:rsidR="00C33CF4" w:rsidRPr="00060FD5" w:rsidTr="00060FD5">
        <w:trPr>
          <w:trHeight w:val="737"/>
        </w:trPr>
        <w:tc>
          <w:tcPr>
            <w:tcW w:w="1785" w:type="dxa"/>
            <w:tcBorders>
              <w:tl2br w:val="single" w:sz="4" w:space="0" w:color="auto"/>
            </w:tcBorders>
          </w:tcPr>
          <w:p w:rsidR="00C33CF4" w:rsidRPr="00060FD5" w:rsidRDefault="00C33CF4" w:rsidP="0079158D">
            <w:pPr>
              <w:jc w:val="both"/>
              <w:rPr>
                <w:b/>
                <w:sz w:val="20"/>
                <w:szCs w:val="20"/>
              </w:rPr>
            </w:pPr>
          </w:p>
        </w:tc>
        <w:tc>
          <w:tcPr>
            <w:tcW w:w="1786" w:type="dxa"/>
            <w:vAlign w:val="center"/>
          </w:tcPr>
          <w:p w:rsidR="00C33CF4" w:rsidRPr="00060FD5" w:rsidRDefault="00C33CF4" w:rsidP="00060FD5">
            <w:pPr>
              <w:jc w:val="center"/>
              <w:rPr>
                <w:b/>
                <w:sz w:val="20"/>
                <w:szCs w:val="20"/>
              </w:rPr>
            </w:pPr>
            <w:r w:rsidRPr="00060FD5">
              <w:rPr>
                <w:b/>
                <w:sz w:val="20"/>
                <w:szCs w:val="20"/>
              </w:rPr>
              <w:t>2007</w:t>
            </w:r>
          </w:p>
        </w:tc>
        <w:tc>
          <w:tcPr>
            <w:tcW w:w="1786" w:type="dxa"/>
            <w:vAlign w:val="center"/>
          </w:tcPr>
          <w:p w:rsidR="00C33CF4" w:rsidRPr="00060FD5" w:rsidRDefault="00C33CF4" w:rsidP="00060FD5">
            <w:pPr>
              <w:jc w:val="center"/>
              <w:rPr>
                <w:b/>
                <w:sz w:val="20"/>
                <w:szCs w:val="20"/>
              </w:rPr>
            </w:pPr>
            <w:r w:rsidRPr="00060FD5">
              <w:rPr>
                <w:b/>
                <w:sz w:val="20"/>
                <w:szCs w:val="20"/>
              </w:rPr>
              <w:t>2011</w:t>
            </w:r>
          </w:p>
        </w:tc>
        <w:tc>
          <w:tcPr>
            <w:tcW w:w="1786" w:type="dxa"/>
            <w:vAlign w:val="center"/>
          </w:tcPr>
          <w:p w:rsidR="00C33CF4" w:rsidRPr="00060FD5" w:rsidRDefault="00C33CF4" w:rsidP="00060FD5">
            <w:pPr>
              <w:jc w:val="center"/>
              <w:rPr>
                <w:b/>
                <w:sz w:val="20"/>
                <w:szCs w:val="20"/>
              </w:rPr>
            </w:pPr>
            <w:r w:rsidRPr="00060FD5">
              <w:rPr>
                <w:b/>
                <w:sz w:val="20"/>
                <w:szCs w:val="20"/>
              </w:rPr>
              <w:t>2012</w:t>
            </w:r>
          </w:p>
        </w:tc>
        <w:tc>
          <w:tcPr>
            <w:tcW w:w="1786" w:type="dxa"/>
            <w:vAlign w:val="center"/>
          </w:tcPr>
          <w:p w:rsidR="00C33CF4" w:rsidRPr="00060FD5" w:rsidRDefault="00C33CF4" w:rsidP="00060FD5">
            <w:pPr>
              <w:jc w:val="center"/>
              <w:rPr>
                <w:b/>
                <w:sz w:val="20"/>
                <w:szCs w:val="20"/>
              </w:rPr>
            </w:pPr>
            <w:r w:rsidRPr="00060FD5">
              <w:rPr>
                <w:b/>
                <w:sz w:val="20"/>
                <w:szCs w:val="20"/>
              </w:rPr>
              <w:t>2012</w:t>
            </w:r>
          </w:p>
        </w:tc>
      </w:tr>
      <w:tr w:rsidR="00C33CF4" w:rsidRPr="00060FD5" w:rsidTr="0079158D">
        <w:tc>
          <w:tcPr>
            <w:tcW w:w="1785" w:type="dxa"/>
          </w:tcPr>
          <w:p w:rsidR="00C33CF4" w:rsidRPr="00060FD5" w:rsidRDefault="00C33CF4" w:rsidP="0079158D">
            <w:pPr>
              <w:jc w:val="both"/>
              <w:rPr>
                <w:sz w:val="20"/>
                <w:szCs w:val="20"/>
              </w:rPr>
            </w:pPr>
            <w:r w:rsidRPr="00060FD5">
              <w:rPr>
                <w:sz w:val="20"/>
                <w:szCs w:val="20"/>
              </w:rPr>
              <w:t>Rodoviário</w:t>
            </w:r>
          </w:p>
        </w:tc>
        <w:tc>
          <w:tcPr>
            <w:tcW w:w="1786" w:type="dxa"/>
          </w:tcPr>
          <w:p w:rsidR="00C33CF4" w:rsidRPr="00060FD5" w:rsidRDefault="00560224" w:rsidP="0079158D">
            <w:pPr>
              <w:jc w:val="center"/>
              <w:rPr>
                <w:sz w:val="20"/>
                <w:szCs w:val="20"/>
              </w:rPr>
            </w:pPr>
            <w:r w:rsidRPr="00060FD5">
              <w:rPr>
                <w:sz w:val="20"/>
                <w:szCs w:val="20"/>
              </w:rPr>
              <w:t>58%</w:t>
            </w:r>
          </w:p>
        </w:tc>
        <w:tc>
          <w:tcPr>
            <w:tcW w:w="1786" w:type="dxa"/>
          </w:tcPr>
          <w:p w:rsidR="00C33CF4" w:rsidRPr="00060FD5" w:rsidRDefault="00560224" w:rsidP="0079158D">
            <w:pPr>
              <w:jc w:val="center"/>
              <w:rPr>
                <w:sz w:val="20"/>
                <w:szCs w:val="20"/>
              </w:rPr>
            </w:pPr>
            <w:r w:rsidRPr="00060FD5">
              <w:rPr>
                <w:sz w:val="20"/>
                <w:szCs w:val="20"/>
              </w:rPr>
              <w:t>52%</w:t>
            </w:r>
          </w:p>
        </w:tc>
        <w:tc>
          <w:tcPr>
            <w:tcW w:w="1786" w:type="dxa"/>
          </w:tcPr>
          <w:p w:rsidR="00C33CF4" w:rsidRPr="00060FD5" w:rsidRDefault="00560224" w:rsidP="0079158D">
            <w:pPr>
              <w:jc w:val="center"/>
              <w:rPr>
                <w:sz w:val="20"/>
                <w:szCs w:val="20"/>
              </w:rPr>
            </w:pPr>
            <w:r w:rsidRPr="00060FD5">
              <w:rPr>
                <w:sz w:val="20"/>
                <w:szCs w:val="20"/>
              </w:rPr>
              <w:t>61,1%</w:t>
            </w:r>
          </w:p>
        </w:tc>
        <w:tc>
          <w:tcPr>
            <w:tcW w:w="1786" w:type="dxa"/>
          </w:tcPr>
          <w:p w:rsidR="00C33CF4" w:rsidRPr="00060FD5" w:rsidRDefault="00560224" w:rsidP="0079158D">
            <w:pPr>
              <w:jc w:val="center"/>
              <w:rPr>
                <w:sz w:val="20"/>
                <w:szCs w:val="20"/>
              </w:rPr>
            </w:pPr>
            <w:r w:rsidRPr="00060FD5">
              <w:rPr>
                <w:sz w:val="20"/>
                <w:szCs w:val="20"/>
              </w:rPr>
              <w:t>67%</w:t>
            </w:r>
          </w:p>
        </w:tc>
      </w:tr>
      <w:tr w:rsidR="00C33CF4" w:rsidRPr="00060FD5" w:rsidTr="0079158D">
        <w:tc>
          <w:tcPr>
            <w:tcW w:w="1785" w:type="dxa"/>
          </w:tcPr>
          <w:p w:rsidR="00C33CF4" w:rsidRPr="00060FD5" w:rsidRDefault="00C33CF4" w:rsidP="0079158D">
            <w:pPr>
              <w:jc w:val="both"/>
              <w:rPr>
                <w:sz w:val="20"/>
                <w:szCs w:val="20"/>
              </w:rPr>
            </w:pPr>
            <w:r w:rsidRPr="00060FD5">
              <w:rPr>
                <w:sz w:val="20"/>
                <w:szCs w:val="20"/>
              </w:rPr>
              <w:t>Ferroviário</w:t>
            </w:r>
          </w:p>
        </w:tc>
        <w:tc>
          <w:tcPr>
            <w:tcW w:w="1786" w:type="dxa"/>
          </w:tcPr>
          <w:p w:rsidR="00C33CF4" w:rsidRPr="00060FD5" w:rsidRDefault="00560224" w:rsidP="0079158D">
            <w:pPr>
              <w:jc w:val="center"/>
              <w:rPr>
                <w:sz w:val="20"/>
                <w:szCs w:val="20"/>
              </w:rPr>
            </w:pPr>
            <w:r w:rsidRPr="00060FD5">
              <w:rPr>
                <w:sz w:val="20"/>
                <w:szCs w:val="20"/>
              </w:rPr>
              <w:t>25%</w:t>
            </w:r>
          </w:p>
        </w:tc>
        <w:tc>
          <w:tcPr>
            <w:tcW w:w="1786" w:type="dxa"/>
          </w:tcPr>
          <w:p w:rsidR="00C33CF4" w:rsidRPr="00060FD5" w:rsidRDefault="00560224" w:rsidP="0079158D">
            <w:pPr>
              <w:jc w:val="center"/>
              <w:rPr>
                <w:sz w:val="20"/>
                <w:szCs w:val="20"/>
              </w:rPr>
            </w:pPr>
            <w:r w:rsidRPr="00060FD5">
              <w:rPr>
                <w:sz w:val="20"/>
                <w:szCs w:val="20"/>
              </w:rPr>
              <w:t>30%</w:t>
            </w:r>
          </w:p>
        </w:tc>
        <w:tc>
          <w:tcPr>
            <w:tcW w:w="1786" w:type="dxa"/>
          </w:tcPr>
          <w:p w:rsidR="00C33CF4" w:rsidRPr="00060FD5" w:rsidRDefault="00560224" w:rsidP="0079158D">
            <w:pPr>
              <w:jc w:val="center"/>
              <w:rPr>
                <w:sz w:val="20"/>
                <w:szCs w:val="20"/>
              </w:rPr>
            </w:pPr>
            <w:r w:rsidRPr="00060FD5">
              <w:rPr>
                <w:sz w:val="20"/>
                <w:szCs w:val="20"/>
              </w:rPr>
              <w:t>20,7%</w:t>
            </w:r>
          </w:p>
        </w:tc>
        <w:tc>
          <w:tcPr>
            <w:tcW w:w="1786" w:type="dxa"/>
          </w:tcPr>
          <w:p w:rsidR="00C33CF4" w:rsidRPr="00060FD5" w:rsidRDefault="00560224" w:rsidP="0079158D">
            <w:pPr>
              <w:jc w:val="center"/>
              <w:rPr>
                <w:sz w:val="20"/>
                <w:szCs w:val="20"/>
              </w:rPr>
            </w:pPr>
            <w:r w:rsidRPr="00060FD5">
              <w:rPr>
                <w:sz w:val="20"/>
                <w:szCs w:val="20"/>
              </w:rPr>
              <w:t>18%</w:t>
            </w:r>
          </w:p>
        </w:tc>
      </w:tr>
      <w:tr w:rsidR="00C33CF4" w:rsidRPr="00060FD5" w:rsidTr="0079158D">
        <w:tc>
          <w:tcPr>
            <w:tcW w:w="1785" w:type="dxa"/>
          </w:tcPr>
          <w:p w:rsidR="00C33CF4" w:rsidRPr="00060FD5" w:rsidRDefault="00C33CF4" w:rsidP="0079158D">
            <w:pPr>
              <w:jc w:val="both"/>
              <w:rPr>
                <w:sz w:val="20"/>
                <w:szCs w:val="20"/>
              </w:rPr>
            </w:pPr>
            <w:r w:rsidRPr="00060FD5">
              <w:rPr>
                <w:sz w:val="20"/>
                <w:szCs w:val="20"/>
              </w:rPr>
              <w:t>Aquaviário</w:t>
            </w:r>
          </w:p>
        </w:tc>
        <w:tc>
          <w:tcPr>
            <w:tcW w:w="1786" w:type="dxa"/>
          </w:tcPr>
          <w:p w:rsidR="00C33CF4" w:rsidRPr="00060FD5" w:rsidRDefault="00560224" w:rsidP="0079158D">
            <w:pPr>
              <w:jc w:val="center"/>
              <w:rPr>
                <w:sz w:val="20"/>
                <w:szCs w:val="20"/>
              </w:rPr>
            </w:pPr>
            <w:r w:rsidRPr="00060FD5">
              <w:rPr>
                <w:sz w:val="20"/>
                <w:szCs w:val="20"/>
              </w:rPr>
              <w:t>13%</w:t>
            </w:r>
          </w:p>
        </w:tc>
        <w:tc>
          <w:tcPr>
            <w:tcW w:w="1786" w:type="dxa"/>
          </w:tcPr>
          <w:p w:rsidR="00C33CF4" w:rsidRPr="00060FD5" w:rsidRDefault="00560224" w:rsidP="0079158D">
            <w:pPr>
              <w:jc w:val="center"/>
              <w:rPr>
                <w:sz w:val="20"/>
                <w:szCs w:val="20"/>
              </w:rPr>
            </w:pPr>
            <w:r w:rsidRPr="00060FD5">
              <w:rPr>
                <w:sz w:val="20"/>
                <w:szCs w:val="20"/>
              </w:rPr>
              <w:t>13%</w:t>
            </w:r>
          </w:p>
        </w:tc>
        <w:tc>
          <w:tcPr>
            <w:tcW w:w="1786" w:type="dxa"/>
          </w:tcPr>
          <w:p w:rsidR="00C33CF4" w:rsidRPr="00060FD5" w:rsidRDefault="00560224" w:rsidP="0079158D">
            <w:pPr>
              <w:jc w:val="center"/>
              <w:rPr>
                <w:sz w:val="20"/>
                <w:szCs w:val="20"/>
              </w:rPr>
            </w:pPr>
            <w:r w:rsidRPr="00060FD5">
              <w:rPr>
                <w:sz w:val="20"/>
                <w:szCs w:val="20"/>
              </w:rPr>
              <w:t>13,6%</w:t>
            </w:r>
          </w:p>
        </w:tc>
        <w:tc>
          <w:tcPr>
            <w:tcW w:w="1786" w:type="dxa"/>
          </w:tcPr>
          <w:p w:rsidR="00C33CF4" w:rsidRPr="00060FD5" w:rsidRDefault="00560224" w:rsidP="0079158D">
            <w:pPr>
              <w:jc w:val="center"/>
              <w:rPr>
                <w:sz w:val="20"/>
                <w:szCs w:val="20"/>
              </w:rPr>
            </w:pPr>
            <w:r w:rsidRPr="00060FD5">
              <w:rPr>
                <w:sz w:val="20"/>
                <w:szCs w:val="20"/>
              </w:rPr>
              <w:t>11%</w:t>
            </w:r>
          </w:p>
        </w:tc>
      </w:tr>
      <w:tr w:rsidR="00C33CF4" w:rsidRPr="00060FD5" w:rsidTr="0079158D">
        <w:tc>
          <w:tcPr>
            <w:tcW w:w="1785" w:type="dxa"/>
          </w:tcPr>
          <w:p w:rsidR="00C33CF4" w:rsidRPr="00060FD5" w:rsidRDefault="00C33CF4" w:rsidP="0079158D">
            <w:pPr>
              <w:jc w:val="both"/>
              <w:rPr>
                <w:sz w:val="20"/>
                <w:szCs w:val="20"/>
              </w:rPr>
            </w:pPr>
            <w:r w:rsidRPr="00060FD5">
              <w:rPr>
                <w:sz w:val="20"/>
                <w:szCs w:val="20"/>
              </w:rPr>
              <w:t>Dutoviário</w:t>
            </w:r>
          </w:p>
        </w:tc>
        <w:tc>
          <w:tcPr>
            <w:tcW w:w="1786" w:type="dxa"/>
          </w:tcPr>
          <w:p w:rsidR="00C33CF4" w:rsidRPr="00060FD5" w:rsidRDefault="00560224" w:rsidP="0079158D">
            <w:pPr>
              <w:jc w:val="center"/>
              <w:rPr>
                <w:sz w:val="20"/>
                <w:szCs w:val="20"/>
              </w:rPr>
            </w:pPr>
            <w:r w:rsidRPr="00060FD5">
              <w:rPr>
                <w:sz w:val="20"/>
                <w:szCs w:val="20"/>
              </w:rPr>
              <w:t>3,6%</w:t>
            </w:r>
          </w:p>
        </w:tc>
        <w:tc>
          <w:tcPr>
            <w:tcW w:w="1786" w:type="dxa"/>
          </w:tcPr>
          <w:p w:rsidR="00C33CF4" w:rsidRPr="00060FD5" w:rsidRDefault="00560224" w:rsidP="0079158D">
            <w:pPr>
              <w:jc w:val="center"/>
              <w:rPr>
                <w:sz w:val="20"/>
                <w:szCs w:val="20"/>
              </w:rPr>
            </w:pPr>
            <w:r w:rsidRPr="00060FD5">
              <w:rPr>
                <w:sz w:val="20"/>
                <w:szCs w:val="20"/>
              </w:rPr>
              <w:t>5%</w:t>
            </w:r>
          </w:p>
        </w:tc>
        <w:tc>
          <w:tcPr>
            <w:tcW w:w="1786" w:type="dxa"/>
          </w:tcPr>
          <w:p w:rsidR="00C33CF4" w:rsidRPr="00060FD5" w:rsidRDefault="00560224" w:rsidP="0079158D">
            <w:pPr>
              <w:jc w:val="center"/>
              <w:rPr>
                <w:sz w:val="20"/>
                <w:szCs w:val="20"/>
              </w:rPr>
            </w:pPr>
            <w:r w:rsidRPr="00060FD5">
              <w:rPr>
                <w:sz w:val="20"/>
                <w:szCs w:val="20"/>
              </w:rPr>
              <w:t>4,2%</w:t>
            </w:r>
          </w:p>
        </w:tc>
        <w:tc>
          <w:tcPr>
            <w:tcW w:w="1786" w:type="dxa"/>
          </w:tcPr>
          <w:p w:rsidR="00C33CF4" w:rsidRPr="00060FD5" w:rsidRDefault="00560224" w:rsidP="0079158D">
            <w:pPr>
              <w:jc w:val="center"/>
              <w:rPr>
                <w:sz w:val="20"/>
                <w:szCs w:val="20"/>
              </w:rPr>
            </w:pPr>
            <w:r w:rsidRPr="00060FD5">
              <w:rPr>
                <w:sz w:val="20"/>
                <w:szCs w:val="20"/>
              </w:rPr>
              <w:t>3,6%</w:t>
            </w:r>
          </w:p>
        </w:tc>
      </w:tr>
      <w:tr w:rsidR="00C33CF4" w:rsidRPr="00060FD5" w:rsidTr="0079158D">
        <w:tc>
          <w:tcPr>
            <w:tcW w:w="1785" w:type="dxa"/>
          </w:tcPr>
          <w:p w:rsidR="00C33CF4" w:rsidRPr="00060FD5" w:rsidRDefault="00C33CF4" w:rsidP="0079158D">
            <w:pPr>
              <w:jc w:val="both"/>
              <w:rPr>
                <w:sz w:val="20"/>
                <w:szCs w:val="20"/>
              </w:rPr>
            </w:pPr>
            <w:r w:rsidRPr="00060FD5">
              <w:rPr>
                <w:sz w:val="20"/>
                <w:szCs w:val="20"/>
              </w:rPr>
              <w:t>Aéreo</w:t>
            </w:r>
          </w:p>
        </w:tc>
        <w:tc>
          <w:tcPr>
            <w:tcW w:w="1786" w:type="dxa"/>
          </w:tcPr>
          <w:p w:rsidR="00C33CF4" w:rsidRPr="00060FD5" w:rsidRDefault="00560224" w:rsidP="0079158D">
            <w:pPr>
              <w:jc w:val="center"/>
              <w:rPr>
                <w:sz w:val="20"/>
                <w:szCs w:val="20"/>
              </w:rPr>
            </w:pPr>
            <w:r w:rsidRPr="00060FD5">
              <w:rPr>
                <w:sz w:val="20"/>
                <w:szCs w:val="20"/>
              </w:rPr>
              <w:t>0,4%</w:t>
            </w:r>
          </w:p>
        </w:tc>
        <w:tc>
          <w:tcPr>
            <w:tcW w:w="1786" w:type="dxa"/>
          </w:tcPr>
          <w:p w:rsidR="00C33CF4" w:rsidRPr="00060FD5" w:rsidRDefault="00560224" w:rsidP="0079158D">
            <w:pPr>
              <w:jc w:val="center"/>
              <w:rPr>
                <w:sz w:val="20"/>
                <w:szCs w:val="20"/>
              </w:rPr>
            </w:pPr>
            <w:r w:rsidRPr="00060FD5">
              <w:rPr>
                <w:sz w:val="20"/>
                <w:szCs w:val="20"/>
              </w:rPr>
              <w:t>-</w:t>
            </w:r>
          </w:p>
        </w:tc>
        <w:tc>
          <w:tcPr>
            <w:tcW w:w="1786" w:type="dxa"/>
          </w:tcPr>
          <w:p w:rsidR="00C33CF4" w:rsidRPr="00060FD5" w:rsidRDefault="00560224" w:rsidP="0079158D">
            <w:pPr>
              <w:jc w:val="center"/>
              <w:rPr>
                <w:sz w:val="20"/>
                <w:szCs w:val="20"/>
              </w:rPr>
            </w:pPr>
            <w:r w:rsidRPr="00060FD5">
              <w:rPr>
                <w:sz w:val="20"/>
                <w:szCs w:val="20"/>
              </w:rPr>
              <w:t>0,4%</w:t>
            </w:r>
          </w:p>
        </w:tc>
        <w:tc>
          <w:tcPr>
            <w:tcW w:w="1786" w:type="dxa"/>
          </w:tcPr>
          <w:p w:rsidR="00C33CF4" w:rsidRPr="00060FD5" w:rsidRDefault="00560224" w:rsidP="0079158D">
            <w:pPr>
              <w:jc w:val="center"/>
              <w:rPr>
                <w:sz w:val="20"/>
                <w:szCs w:val="20"/>
              </w:rPr>
            </w:pPr>
            <w:r w:rsidRPr="00060FD5">
              <w:rPr>
                <w:sz w:val="20"/>
                <w:szCs w:val="20"/>
              </w:rPr>
              <w:t>0,4%</w:t>
            </w:r>
          </w:p>
        </w:tc>
      </w:tr>
      <w:tr w:rsidR="00C33CF4" w:rsidRPr="00060FD5" w:rsidTr="0079158D">
        <w:tc>
          <w:tcPr>
            <w:tcW w:w="1785" w:type="dxa"/>
          </w:tcPr>
          <w:p w:rsidR="00C33CF4" w:rsidRPr="00060FD5" w:rsidRDefault="00033D16" w:rsidP="00033D16">
            <w:pPr>
              <w:tabs>
                <w:tab w:val="center" w:pos="784"/>
                <w:tab w:val="right" w:pos="1569"/>
              </w:tabs>
              <w:rPr>
                <w:sz w:val="20"/>
                <w:szCs w:val="20"/>
              </w:rPr>
            </w:pPr>
            <w:r>
              <w:rPr>
                <w:sz w:val="20"/>
                <w:szCs w:val="20"/>
              </w:rPr>
              <w:tab/>
            </w:r>
            <w:r>
              <w:rPr>
                <w:sz w:val="20"/>
                <w:szCs w:val="20"/>
              </w:rPr>
              <w:tab/>
            </w:r>
            <w:r w:rsidR="00C33CF4" w:rsidRPr="00060FD5">
              <w:rPr>
                <w:sz w:val="20"/>
                <w:szCs w:val="20"/>
              </w:rPr>
              <w:t>Fonte</w:t>
            </w:r>
          </w:p>
        </w:tc>
        <w:tc>
          <w:tcPr>
            <w:tcW w:w="1786" w:type="dxa"/>
          </w:tcPr>
          <w:p w:rsidR="00C33CF4" w:rsidRPr="00060FD5" w:rsidRDefault="00560224" w:rsidP="0079158D">
            <w:pPr>
              <w:jc w:val="center"/>
              <w:rPr>
                <w:sz w:val="20"/>
                <w:szCs w:val="20"/>
              </w:rPr>
            </w:pPr>
            <w:r w:rsidRPr="00060FD5">
              <w:rPr>
                <w:sz w:val="20"/>
                <w:szCs w:val="20"/>
              </w:rPr>
              <w:t>PNLT, 2007</w:t>
            </w:r>
          </w:p>
        </w:tc>
        <w:tc>
          <w:tcPr>
            <w:tcW w:w="1786" w:type="dxa"/>
          </w:tcPr>
          <w:p w:rsidR="00C33CF4" w:rsidRPr="00060FD5" w:rsidRDefault="00560224" w:rsidP="0079158D">
            <w:pPr>
              <w:jc w:val="center"/>
              <w:rPr>
                <w:sz w:val="20"/>
                <w:szCs w:val="20"/>
              </w:rPr>
            </w:pPr>
            <w:r w:rsidRPr="00060FD5">
              <w:rPr>
                <w:sz w:val="20"/>
                <w:szCs w:val="20"/>
              </w:rPr>
              <w:t>PNLT, 2011</w:t>
            </w:r>
          </w:p>
        </w:tc>
        <w:tc>
          <w:tcPr>
            <w:tcW w:w="1786" w:type="dxa"/>
          </w:tcPr>
          <w:p w:rsidR="00C33CF4" w:rsidRPr="00060FD5" w:rsidRDefault="00560224" w:rsidP="0079158D">
            <w:pPr>
              <w:jc w:val="center"/>
              <w:rPr>
                <w:sz w:val="20"/>
                <w:szCs w:val="20"/>
              </w:rPr>
            </w:pPr>
            <w:r w:rsidRPr="00060FD5">
              <w:rPr>
                <w:sz w:val="20"/>
                <w:szCs w:val="20"/>
              </w:rPr>
              <w:t>ABCR</w:t>
            </w:r>
          </w:p>
        </w:tc>
        <w:tc>
          <w:tcPr>
            <w:tcW w:w="1786" w:type="dxa"/>
          </w:tcPr>
          <w:p w:rsidR="00C33CF4" w:rsidRPr="00060FD5" w:rsidRDefault="00560224" w:rsidP="0079158D">
            <w:pPr>
              <w:jc w:val="center"/>
              <w:rPr>
                <w:sz w:val="20"/>
                <w:szCs w:val="20"/>
              </w:rPr>
            </w:pPr>
            <w:r w:rsidRPr="00060FD5">
              <w:rPr>
                <w:sz w:val="20"/>
                <w:szCs w:val="20"/>
              </w:rPr>
              <w:t>Ilos</w:t>
            </w:r>
          </w:p>
        </w:tc>
      </w:tr>
    </w:tbl>
    <w:p w:rsidR="003B3DCA" w:rsidRPr="000476A7" w:rsidRDefault="00C535BE" w:rsidP="00E4363D">
      <w:pPr>
        <w:spacing w:before="480" w:after="360"/>
        <w:ind w:firstLine="1418"/>
        <w:jc w:val="both"/>
        <w:rPr>
          <w:sz w:val="26"/>
          <w:szCs w:val="26"/>
        </w:rPr>
      </w:pPr>
      <w:r w:rsidRPr="000476A7">
        <w:rPr>
          <w:sz w:val="26"/>
          <w:szCs w:val="26"/>
        </w:rPr>
        <w:t>O desequilíbrio da matriz de transportes brasileira não significa que o modal rodoviário é apropriado e os demais modais inapropriados. Todos os modais possuem infraestrutura insuficiente no Brasil. O modal rodoviário</w:t>
      </w:r>
      <w:r w:rsidR="00EA516E" w:rsidRPr="000476A7">
        <w:rPr>
          <w:sz w:val="26"/>
          <w:szCs w:val="26"/>
        </w:rPr>
        <w:t>,</w:t>
      </w:r>
      <w:r w:rsidRPr="000476A7">
        <w:rPr>
          <w:sz w:val="26"/>
          <w:szCs w:val="26"/>
        </w:rPr>
        <w:t xml:space="preserve"> que tem recebido desde os anos 1950 a preferência dos investimentos</w:t>
      </w:r>
      <w:r w:rsidR="00EA516E" w:rsidRPr="000476A7">
        <w:rPr>
          <w:sz w:val="26"/>
          <w:szCs w:val="26"/>
        </w:rPr>
        <w:t>,</w:t>
      </w:r>
      <w:r w:rsidRPr="000476A7">
        <w:rPr>
          <w:sz w:val="26"/>
          <w:szCs w:val="26"/>
        </w:rPr>
        <w:t xml:space="preserve"> também é </w:t>
      </w:r>
      <w:r w:rsidR="00EE0EC0" w:rsidRPr="000476A7">
        <w:rPr>
          <w:sz w:val="26"/>
          <w:szCs w:val="26"/>
        </w:rPr>
        <w:t xml:space="preserve">considerado </w:t>
      </w:r>
      <w:r w:rsidRPr="000476A7">
        <w:rPr>
          <w:sz w:val="26"/>
          <w:szCs w:val="26"/>
        </w:rPr>
        <w:t>insuficiente para as dimensões da economia nacional. Qua</w:t>
      </w:r>
      <w:r w:rsidR="00500DA0" w:rsidRPr="000476A7">
        <w:rPr>
          <w:sz w:val="26"/>
          <w:szCs w:val="26"/>
        </w:rPr>
        <w:t>ndo comparamos o Brasil</w:t>
      </w:r>
      <w:r w:rsidRPr="000476A7">
        <w:rPr>
          <w:sz w:val="26"/>
          <w:szCs w:val="26"/>
        </w:rPr>
        <w:t xml:space="preserve"> com os EUA, que </w:t>
      </w:r>
      <w:r w:rsidR="00500DA0" w:rsidRPr="000476A7">
        <w:rPr>
          <w:sz w:val="26"/>
          <w:szCs w:val="26"/>
        </w:rPr>
        <w:t xml:space="preserve">são países com </w:t>
      </w:r>
      <w:r w:rsidRPr="000476A7">
        <w:rPr>
          <w:sz w:val="26"/>
          <w:szCs w:val="26"/>
        </w:rPr>
        <w:t xml:space="preserve">dimensões geográficas semelhantes, </w:t>
      </w:r>
      <w:r w:rsidR="00500DA0" w:rsidRPr="000476A7">
        <w:rPr>
          <w:sz w:val="26"/>
          <w:szCs w:val="26"/>
        </w:rPr>
        <w:t xml:space="preserve">mas economias desproporcionais, </w:t>
      </w:r>
      <w:r w:rsidR="00EA516E" w:rsidRPr="000476A7">
        <w:rPr>
          <w:sz w:val="26"/>
          <w:szCs w:val="26"/>
        </w:rPr>
        <w:t xml:space="preserve">constatamos que </w:t>
      </w:r>
      <w:r w:rsidR="00500DA0" w:rsidRPr="000476A7">
        <w:rPr>
          <w:sz w:val="26"/>
          <w:szCs w:val="26"/>
        </w:rPr>
        <w:t>os EUA t</w:t>
      </w:r>
      <w:r w:rsidR="00BC08DE" w:rsidRPr="000476A7">
        <w:rPr>
          <w:sz w:val="26"/>
          <w:szCs w:val="26"/>
        </w:rPr>
        <w:t>ê</w:t>
      </w:r>
      <w:r w:rsidR="00500DA0" w:rsidRPr="000476A7">
        <w:rPr>
          <w:sz w:val="26"/>
          <w:szCs w:val="26"/>
        </w:rPr>
        <w:t>m</w:t>
      </w:r>
      <w:r w:rsidRPr="000476A7">
        <w:rPr>
          <w:sz w:val="26"/>
          <w:szCs w:val="26"/>
        </w:rPr>
        <w:t xml:space="preserve"> Produto Interno Bruto – PIB sete vezes maior que o brasileiro em dólares, entretanto, a malha rodoviária americana é </w:t>
      </w:r>
      <w:r w:rsidR="0046717D">
        <w:rPr>
          <w:sz w:val="26"/>
          <w:szCs w:val="26"/>
        </w:rPr>
        <w:t xml:space="preserve">cerca de </w:t>
      </w:r>
      <w:r w:rsidRPr="000476A7">
        <w:rPr>
          <w:sz w:val="26"/>
          <w:szCs w:val="26"/>
        </w:rPr>
        <w:t>20 vezes maior que a malha brasileira em quilômetros</w:t>
      </w:r>
      <w:r w:rsidRPr="000476A7">
        <w:rPr>
          <w:sz w:val="26"/>
          <w:szCs w:val="26"/>
          <w:vertAlign w:val="superscript"/>
        </w:rPr>
        <w:footnoteReference w:id="6"/>
      </w:r>
      <w:r w:rsidR="00BC08DE" w:rsidRPr="000476A7">
        <w:rPr>
          <w:sz w:val="26"/>
          <w:szCs w:val="26"/>
        </w:rPr>
        <w:t>.</w:t>
      </w:r>
      <w:r w:rsidR="00500DA0" w:rsidRPr="000476A7">
        <w:rPr>
          <w:sz w:val="26"/>
          <w:szCs w:val="26"/>
        </w:rPr>
        <w:t xml:space="preserve"> </w:t>
      </w:r>
      <w:r w:rsidR="00BC08DE" w:rsidRPr="000476A7">
        <w:rPr>
          <w:sz w:val="26"/>
          <w:szCs w:val="26"/>
        </w:rPr>
        <w:t>P</w:t>
      </w:r>
      <w:r w:rsidR="00500DA0" w:rsidRPr="000476A7">
        <w:rPr>
          <w:sz w:val="26"/>
          <w:szCs w:val="26"/>
        </w:rPr>
        <w:t>ercebemos, portanto, que há</w:t>
      </w:r>
      <w:r w:rsidRPr="000476A7">
        <w:rPr>
          <w:sz w:val="26"/>
          <w:szCs w:val="26"/>
        </w:rPr>
        <w:t xml:space="preserve"> </w:t>
      </w:r>
      <w:r w:rsidR="00BC08DE" w:rsidRPr="000476A7">
        <w:rPr>
          <w:sz w:val="26"/>
          <w:szCs w:val="26"/>
        </w:rPr>
        <w:t xml:space="preserve">ainda </w:t>
      </w:r>
      <w:r w:rsidRPr="000476A7">
        <w:rPr>
          <w:sz w:val="26"/>
          <w:szCs w:val="26"/>
        </w:rPr>
        <w:t xml:space="preserve">imenso potencial de crescimento no setor de infraestrutura de transporte </w:t>
      </w:r>
      <w:r w:rsidR="00500DA0" w:rsidRPr="000476A7">
        <w:rPr>
          <w:sz w:val="26"/>
          <w:szCs w:val="26"/>
        </w:rPr>
        <w:t>rodoviário no Brasil</w:t>
      </w:r>
      <w:r w:rsidRPr="000476A7">
        <w:rPr>
          <w:sz w:val="26"/>
          <w:szCs w:val="26"/>
        </w:rPr>
        <w:t>.</w:t>
      </w:r>
    </w:p>
    <w:p w:rsidR="007400D1" w:rsidRPr="001B1266" w:rsidRDefault="007400D1" w:rsidP="007400D1">
      <w:pPr>
        <w:pStyle w:val="Legenda"/>
        <w:keepNext/>
      </w:pPr>
    </w:p>
    <w:p w:rsidR="000A4706" w:rsidRDefault="000A4706" w:rsidP="000A4706">
      <w:pPr>
        <w:pStyle w:val="Legenda"/>
        <w:keepNext/>
      </w:pPr>
      <w:r>
        <w:t xml:space="preserve">Tabela </w:t>
      </w:r>
      <w:fldSimple w:instr=" SEQ Tabela \* ARABIC ">
        <w:r w:rsidR="00780B83">
          <w:rPr>
            <w:noProof/>
          </w:rPr>
          <w:t>4</w:t>
        </w:r>
      </w:fldSimple>
      <w:r>
        <w:t xml:space="preserve"> </w:t>
      </w:r>
      <w:r w:rsidRPr="001B1266">
        <w:t>- Comparativo EUA x Brasil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42"/>
        <w:gridCol w:w="1543"/>
        <w:gridCol w:w="1543"/>
      </w:tblGrid>
      <w:tr w:rsidR="00451849" w:rsidRPr="001B1266" w:rsidTr="000A4706">
        <w:tc>
          <w:tcPr>
            <w:tcW w:w="4077" w:type="dxa"/>
            <w:tcBorders>
              <w:tl2br w:val="single" w:sz="4" w:space="0" w:color="auto"/>
            </w:tcBorders>
          </w:tcPr>
          <w:p w:rsidR="00451849" w:rsidRPr="001B1266" w:rsidRDefault="00451849" w:rsidP="0079158D">
            <w:pPr>
              <w:jc w:val="both"/>
              <w:rPr>
                <w:sz w:val="20"/>
                <w:szCs w:val="20"/>
              </w:rPr>
            </w:pPr>
          </w:p>
        </w:tc>
        <w:tc>
          <w:tcPr>
            <w:tcW w:w="1542" w:type="dxa"/>
          </w:tcPr>
          <w:p w:rsidR="00451849" w:rsidRPr="001B1266" w:rsidRDefault="00451849" w:rsidP="0079158D">
            <w:pPr>
              <w:jc w:val="center"/>
              <w:rPr>
                <w:sz w:val="20"/>
                <w:szCs w:val="20"/>
              </w:rPr>
            </w:pPr>
            <w:r w:rsidRPr="001B1266">
              <w:rPr>
                <w:sz w:val="20"/>
                <w:szCs w:val="20"/>
              </w:rPr>
              <w:t>EUA</w:t>
            </w:r>
          </w:p>
        </w:tc>
        <w:tc>
          <w:tcPr>
            <w:tcW w:w="1543" w:type="dxa"/>
          </w:tcPr>
          <w:p w:rsidR="00451849" w:rsidRPr="001B1266" w:rsidRDefault="00451849" w:rsidP="0079158D">
            <w:pPr>
              <w:jc w:val="center"/>
              <w:rPr>
                <w:sz w:val="20"/>
                <w:szCs w:val="20"/>
              </w:rPr>
            </w:pPr>
            <w:r w:rsidRPr="001B1266">
              <w:rPr>
                <w:sz w:val="20"/>
                <w:szCs w:val="20"/>
              </w:rPr>
              <w:t>Brasil</w:t>
            </w:r>
          </w:p>
        </w:tc>
        <w:tc>
          <w:tcPr>
            <w:tcW w:w="1543" w:type="dxa"/>
          </w:tcPr>
          <w:p w:rsidR="00451849" w:rsidRPr="001B1266" w:rsidRDefault="00AD473E" w:rsidP="0079158D">
            <w:pPr>
              <w:jc w:val="center"/>
              <w:rPr>
                <w:sz w:val="20"/>
                <w:szCs w:val="20"/>
              </w:rPr>
            </w:pPr>
            <w:r w:rsidRPr="001B1266">
              <w:rPr>
                <w:sz w:val="20"/>
                <w:szCs w:val="20"/>
              </w:rPr>
              <w:t>Relação</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Área (km</w:t>
            </w:r>
            <w:r w:rsidRPr="001B1266">
              <w:rPr>
                <w:sz w:val="20"/>
                <w:szCs w:val="20"/>
                <w:vertAlign w:val="superscript"/>
              </w:rPr>
              <w:t>2</w:t>
            </w:r>
            <w:r w:rsidRPr="001B1266">
              <w:rPr>
                <w:sz w:val="20"/>
                <w:szCs w:val="20"/>
              </w:rPr>
              <w:t>)</w:t>
            </w:r>
          </w:p>
        </w:tc>
        <w:tc>
          <w:tcPr>
            <w:tcW w:w="1542" w:type="dxa"/>
          </w:tcPr>
          <w:p w:rsidR="00451849" w:rsidRPr="001B1266" w:rsidRDefault="00451849" w:rsidP="0079158D">
            <w:pPr>
              <w:jc w:val="right"/>
              <w:rPr>
                <w:sz w:val="20"/>
                <w:szCs w:val="20"/>
              </w:rPr>
            </w:pPr>
            <w:r w:rsidRPr="001B1266">
              <w:rPr>
                <w:sz w:val="20"/>
                <w:szCs w:val="20"/>
              </w:rPr>
              <w:t>9.857.306</w:t>
            </w:r>
          </w:p>
        </w:tc>
        <w:tc>
          <w:tcPr>
            <w:tcW w:w="1543" w:type="dxa"/>
          </w:tcPr>
          <w:p w:rsidR="00451849" w:rsidRPr="001B1266" w:rsidRDefault="00451849" w:rsidP="0079158D">
            <w:pPr>
              <w:jc w:val="right"/>
              <w:rPr>
                <w:sz w:val="20"/>
                <w:szCs w:val="20"/>
              </w:rPr>
            </w:pPr>
            <w:r w:rsidRPr="001B1266">
              <w:rPr>
                <w:sz w:val="20"/>
                <w:szCs w:val="20"/>
              </w:rPr>
              <w:t>8.515.767</w:t>
            </w:r>
          </w:p>
        </w:tc>
        <w:tc>
          <w:tcPr>
            <w:tcW w:w="1543" w:type="dxa"/>
          </w:tcPr>
          <w:p w:rsidR="00451849" w:rsidRPr="001B1266" w:rsidRDefault="00AD473E" w:rsidP="0079158D">
            <w:pPr>
              <w:jc w:val="right"/>
              <w:rPr>
                <w:sz w:val="20"/>
                <w:szCs w:val="20"/>
              </w:rPr>
            </w:pPr>
            <w:r w:rsidRPr="001B1266">
              <w:rPr>
                <w:sz w:val="20"/>
                <w:szCs w:val="20"/>
              </w:rPr>
              <w:t>16%</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População (milhões)</w:t>
            </w:r>
          </w:p>
        </w:tc>
        <w:tc>
          <w:tcPr>
            <w:tcW w:w="1542" w:type="dxa"/>
          </w:tcPr>
          <w:p w:rsidR="00451849" w:rsidRPr="001B1266" w:rsidRDefault="00451849" w:rsidP="0079158D">
            <w:pPr>
              <w:jc w:val="right"/>
              <w:rPr>
                <w:sz w:val="20"/>
                <w:szCs w:val="20"/>
              </w:rPr>
            </w:pPr>
            <w:r w:rsidRPr="001B1266">
              <w:rPr>
                <w:sz w:val="20"/>
                <w:szCs w:val="20"/>
              </w:rPr>
              <w:t>316,4</w:t>
            </w:r>
          </w:p>
        </w:tc>
        <w:tc>
          <w:tcPr>
            <w:tcW w:w="1543" w:type="dxa"/>
          </w:tcPr>
          <w:p w:rsidR="00451849" w:rsidRPr="001B1266" w:rsidRDefault="00451849" w:rsidP="0079158D">
            <w:pPr>
              <w:jc w:val="right"/>
              <w:rPr>
                <w:sz w:val="20"/>
                <w:szCs w:val="20"/>
              </w:rPr>
            </w:pPr>
            <w:r w:rsidRPr="001B1266">
              <w:rPr>
                <w:sz w:val="20"/>
                <w:szCs w:val="20"/>
              </w:rPr>
              <w:t>198,3</w:t>
            </w:r>
          </w:p>
        </w:tc>
        <w:tc>
          <w:tcPr>
            <w:tcW w:w="1543" w:type="dxa"/>
          </w:tcPr>
          <w:p w:rsidR="00451849" w:rsidRPr="001B1266" w:rsidRDefault="00AD473E" w:rsidP="0079158D">
            <w:pPr>
              <w:jc w:val="right"/>
              <w:rPr>
                <w:sz w:val="20"/>
                <w:szCs w:val="20"/>
              </w:rPr>
            </w:pPr>
            <w:r w:rsidRPr="001B1266">
              <w:rPr>
                <w:sz w:val="20"/>
                <w:szCs w:val="20"/>
              </w:rPr>
              <w:t>60%</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PIB (bilhões de dólares)</w:t>
            </w:r>
          </w:p>
        </w:tc>
        <w:tc>
          <w:tcPr>
            <w:tcW w:w="1542" w:type="dxa"/>
          </w:tcPr>
          <w:p w:rsidR="00451849" w:rsidRPr="001B1266" w:rsidRDefault="00451849" w:rsidP="0079158D">
            <w:pPr>
              <w:jc w:val="right"/>
              <w:rPr>
                <w:sz w:val="20"/>
                <w:szCs w:val="20"/>
              </w:rPr>
            </w:pPr>
            <w:r w:rsidRPr="001B1266">
              <w:rPr>
                <w:sz w:val="20"/>
                <w:szCs w:val="20"/>
              </w:rPr>
              <w:t>16.799,7</w:t>
            </w:r>
          </w:p>
        </w:tc>
        <w:tc>
          <w:tcPr>
            <w:tcW w:w="1543" w:type="dxa"/>
          </w:tcPr>
          <w:p w:rsidR="00451849" w:rsidRPr="001B1266" w:rsidRDefault="00451849" w:rsidP="0079158D">
            <w:pPr>
              <w:jc w:val="right"/>
              <w:rPr>
                <w:sz w:val="20"/>
                <w:szCs w:val="20"/>
              </w:rPr>
            </w:pPr>
            <w:r w:rsidRPr="001B1266">
              <w:rPr>
                <w:sz w:val="20"/>
                <w:szCs w:val="20"/>
              </w:rPr>
              <w:t>2.242,9</w:t>
            </w:r>
          </w:p>
        </w:tc>
        <w:tc>
          <w:tcPr>
            <w:tcW w:w="1543" w:type="dxa"/>
          </w:tcPr>
          <w:p w:rsidR="00451849" w:rsidRPr="001B1266" w:rsidRDefault="00AD473E" w:rsidP="0079158D">
            <w:pPr>
              <w:jc w:val="right"/>
              <w:rPr>
                <w:sz w:val="20"/>
                <w:szCs w:val="20"/>
              </w:rPr>
            </w:pPr>
            <w:r w:rsidRPr="001B1266">
              <w:rPr>
                <w:sz w:val="20"/>
                <w:szCs w:val="20"/>
              </w:rPr>
              <w:t>649%</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PIB per capita (US$)</w:t>
            </w:r>
          </w:p>
        </w:tc>
        <w:tc>
          <w:tcPr>
            <w:tcW w:w="1542" w:type="dxa"/>
          </w:tcPr>
          <w:p w:rsidR="00451849" w:rsidRPr="001B1266" w:rsidRDefault="00451849" w:rsidP="0079158D">
            <w:pPr>
              <w:jc w:val="right"/>
              <w:rPr>
                <w:sz w:val="20"/>
                <w:szCs w:val="20"/>
              </w:rPr>
            </w:pPr>
            <w:r w:rsidRPr="001B1266">
              <w:rPr>
                <w:sz w:val="20"/>
                <w:szCs w:val="20"/>
              </w:rPr>
              <w:t>53.101</w:t>
            </w:r>
          </w:p>
        </w:tc>
        <w:tc>
          <w:tcPr>
            <w:tcW w:w="1543" w:type="dxa"/>
          </w:tcPr>
          <w:p w:rsidR="00451849" w:rsidRPr="001B1266" w:rsidRDefault="00451849" w:rsidP="0079158D">
            <w:pPr>
              <w:jc w:val="right"/>
              <w:rPr>
                <w:sz w:val="20"/>
                <w:szCs w:val="20"/>
              </w:rPr>
            </w:pPr>
            <w:r w:rsidRPr="001B1266">
              <w:rPr>
                <w:sz w:val="20"/>
                <w:szCs w:val="20"/>
              </w:rPr>
              <w:t>11.311</w:t>
            </w:r>
          </w:p>
        </w:tc>
        <w:tc>
          <w:tcPr>
            <w:tcW w:w="1543" w:type="dxa"/>
          </w:tcPr>
          <w:p w:rsidR="00451849" w:rsidRPr="001B1266" w:rsidRDefault="00AD473E" w:rsidP="0079158D">
            <w:pPr>
              <w:jc w:val="right"/>
              <w:rPr>
                <w:sz w:val="20"/>
                <w:szCs w:val="20"/>
              </w:rPr>
            </w:pPr>
            <w:r w:rsidRPr="001B1266">
              <w:rPr>
                <w:sz w:val="20"/>
                <w:szCs w:val="20"/>
              </w:rPr>
              <w:t>369%</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Rodovias não pavimentadas (km)</w:t>
            </w:r>
          </w:p>
        </w:tc>
        <w:tc>
          <w:tcPr>
            <w:tcW w:w="1542" w:type="dxa"/>
          </w:tcPr>
          <w:p w:rsidR="00451849" w:rsidRPr="001B1266" w:rsidRDefault="00451849" w:rsidP="0079158D">
            <w:pPr>
              <w:jc w:val="right"/>
              <w:rPr>
                <w:sz w:val="20"/>
                <w:szCs w:val="20"/>
              </w:rPr>
            </w:pPr>
            <w:r w:rsidRPr="001B1266">
              <w:rPr>
                <w:sz w:val="20"/>
                <w:szCs w:val="20"/>
              </w:rPr>
              <w:t>2.267.175</w:t>
            </w:r>
          </w:p>
        </w:tc>
        <w:tc>
          <w:tcPr>
            <w:tcW w:w="1543" w:type="dxa"/>
          </w:tcPr>
          <w:p w:rsidR="00451849" w:rsidRPr="001B1266" w:rsidRDefault="00451849" w:rsidP="002F318C">
            <w:pPr>
              <w:jc w:val="right"/>
              <w:rPr>
                <w:sz w:val="20"/>
                <w:szCs w:val="20"/>
              </w:rPr>
            </w:pPr>
            <w:r w:rsidRPr="001B1266">
              <w:rPr>
                <w:sz w:val="20"/>
                <w:szCs w:val="20"/>
              </w:rPr>
              <w:t>1.</w:t>
            </w:r>
            <w:r w:rsidR="002F318C" w:rsidRPr="001B1266">
              <w:rPr>
                <w:sz w:val="20"/>
                <w:szCs w:val="20"/>
              </w:rPr>
              <w:t>353.186</w:t>
            </w:r>
          </w:p>
        </w:tc>
        <w:tc>
          <w:tcPr>
            <w:tcW w:w="1543" w:type="dxa"/>
          </w:tcPr>
          <w:p w:rsidR="00451849" w:rsidRPr="001B1266" w:rsidRDefault="002F318C" w:rsidP="0079158D">
            <w:pPr>
              <w:jc w:val="right"/>
              <w:rPr>
                <w:sz w:val="20"/>
                <w:szCs w:val="20"/>
              </w:rPr>
            </w:pPr>
            <w:r w:rsidRPr="001B1266">
              <w:rPr>
                <w:sz w:val="20"/>
                <w:szCs w:val="20"/>
              </w:rPr>
              <w:t>67</w:t>
            </w:r>
            <w:r w:rsidR="00AD473E" w:rsidRPr="001B1266">
              <w:rPr>
                <w:sz w:val="20"/>
                <w:szCs w:val="20"/>
              </w:rPr>
              <w:t>%</w:t>
            </w:r>
          </w:p>
        </w:tc>
      </w:tr>
      <w:tr w:rsidR="00451849" w:rsidRPr="001B1266" w:rsidTr="0079158D">
        <w:tc>
          <w:tcPr>
            <w:tcW w:w="4077" w:type="dxa"/>
          </w:tcPr>
          <w:p w:rsidR="00451849" w:rsidRPr="001B1266" w:rsidRDefault="00451849" w:rsidP="0079158D">
            <w:pPr>
              <w:jc w:val="both"/>
              <w:rPr>
                <w:sz w:val="20"/>
                <w:szCs w:val="20"/>
              </w:rPr>
            </w:pPr>
            <w:r w:rsidRPr="001B1266">
              <w:rPr>
                <w:sz w:val="20"/>
                <w:szCs w:val="20"/>
              </w:rPr>
              <w:t>Rodovias pavimentadas (km)</w:t>
            </w:r>
          </w:p>
        </w:tc>
        <w:tc>
          <w:tcPr>
            <w:tcW w:w="1542" w:type="dxa"/>
          </w:tcPr>
          <w:p w:rsidR="00451849" w:rsidRPr="001B1266" w:rsidRDefault="00451849" w:rsidP="0079158D">
            <w:pPr>
              <w:jc w:val="right"/>
              <w:rPr>
                <w:sz w:val="20"/>
                <w:szCs w:val="20"/>
              </w:rPr>
            </w:pPr>
            <w:r w:rsidRPr="001B1266">
              <w:rPr>
                <w:sz w:val="20"/>
                <w:szCs w:val="20"/>
              </w:rPr>
              <w:t>4.186.692</w:t>
            </w:r>
          </w:p>
        </w:tc>
        <w:tc>
          <w:tcPr>
            <w:tcW w:w="1543" w:type="dxa"/>
          </w:tcPr>
          <w:p w:rsidR="00451849" w:rsidRPr="001B1266" w:rsidRDefault="0046717D" w:rsidP="0079158D">
            <w:pPr>
              <w:jc w:val="right"/>
              <w:rPr>
                <w:sz w:val="20"/>
                <w:szCs w:val="20"/>
              </w:rPr>
            </w:pPr>
            <w:r w:rsidRPr="001B1266">
              <w:rPr>
                <w:sz w:val="20"/>
                <w:szCs w:val="20"/>
              </w:rPr>
              <w:t>213.299</w:t>
            </w:r>
          </w:p>
        </w:tc>
        <w:tc>
          <w:tcPr>
            <w:tcW w:w="1543" w:type="dxa"/>
          </w:tcPr>
          <w:p w:rsidR="00451849" w:rsidRPr="001B1266" w:rsidRDefault="0046717D" w:rsidP="0079158D">
            <w:pPr>
              <w:jc w:val="right"/>
              <w:rPr>
                <w:sz w:val="20"/>
                <w:szCs w:val="20"/>
              </w:rPr>
            </w:pPr>
            <w:r w:rsidRPr="001B1266">
              <w:rPr>
                <w:sz w:val="20"/>
                <w:szCs w:val="20"/>
              </w:rPr>
              <w:t>1.863</w:t>
            </w:r>
            <w:r w:rsidR="00AD473E" w:rsidRPr="001B1266">
              <w:rPr>
                <w:sz w:val="20"/>
                <w:szCs w:val="20"/>
              </w:rPr>
              <w:t>%</w:t>
            </w:r>
          </w:p>
        </w:tc>
      </w:tr>
    </w:tbl>
    <w:p w:rsidR="00C72598" w:rsidRDefault="00C72598" w:rsidP="00882C3A">
      <w:pPr>
        <w:pStyle w:val="Ttulo0"/>
        <w:rPr>
          <w:sz w:val="26"/>
          <w:szCs w:val="26"/>
        </w:rPr>
      </w:pPr>
    </w:p>
    <w:p w:rsidR="00E2791C" w:rsidRPr="000476A7" w:rsidRDefault="008E1546" w:rsidP="00882C3A">
      <w:pPr>
        <w:pStyle w:val="Ttulo0"/>
        <w:rPr>
          <w:sz w:val="26"/>
          <w:szCs w:val="26"/>
        </w:rPr>
      </w:pPr>
      <w:bookmarkStart w:id="10" w:name="_Toc442974379"/>
      <w:r>
        <w:rPr>
          <w:sz w:val="26"/>
          <w:szCs w:val="26"/>
        </w:rPr>
        <w:t>3</w:t>
      </w:r>
      <w:r w:rsidR="00E2791C" w:rsidRPr="000476A7">
        <w:rPr>
          <w:sz w:val="26"/>
          <w:szCs w:val="26"/>
        </w:rPr>
        <w:t>.2 Qualidade da Infraestrutura de Transportes</w:t>
      </w:r>
      <w:bookmarkEnd w:id="10"/>
    </w:p>
    <w:p w:rsidR="004B4EA8" w:rsidRPr="000476A7" w:rsidRDefault="004B4EA8" w:rsidP="004B4EA8">
      <w:pPr>
        <w:spacing w:after="360"/>
        <w:ind w:firstLine="1418"/>
        <w:jc w:val="both"/>
        <w:rPr>
          <w:sz w:val="26"/>
          <w:szCs w:val="26"/>
        </w:rPr>
      </w:pPr>
      <w:r w:rsidRPr="000476A7">
        <w:rPr>
          <w:sz w:val="26"/>
          <w:szCs w:val="26"/>
        </w:rPr>
        <w:t xml:space="preserve">A posição relativa do Brasil nos </w:t>
      </w:r>
      <w:r w:rsidRPr="000476A7">
        <w:rPr>
          <w:i/>
          <w:sz w:val="26"/>
          <w:szCs w:val="26"/>
        </w:rPr>
        <w:t>rankings</w:t>
      </w:r>
      <w:r w:rsidRPr="000476A7">
        <w:rPr>
          <w:sz w:val="26"/>
          <w:szCs w:val="26"/>
        </w:rPr>
        <w:t xml:space="preserve"> internacionais de competitividade, no quesito infraestrutura de transportes não é favorável. Em particular, quando comparados os países do BRICS (Brasil, Rússia, Índia, China e África do Sul) com os EUA, Chile e Argentina, por meio de suas posições no </w:t>
      </w:r>
      <w:r w:rsidRPr="000476A7">
        <w:rPr>
          <w:i/>
          <w:sz w:val="26"/>
          <w:szCs w:val="26"/>
        </w:rPr>
        <w:t>ranking</w:t>
      </w:r>
      <w:r w:rsidRPr="000476A7">
        <w:rPr>
          <w:sz w:val="26"/>
          <w:szCs w:val="26"/>
        </w:rPr>
        <w:t xml:space="preserve"> do </w:t>
      </w:r>
      <w:r w:rsidRPr="000476A7">
        <w:rPr>
          <w:i/>
          <w:sz w:val="26"/>
          <w:szCs w:val="26"/>
        </w:rPr>
        <w:t xml:space="preserve">World Economic Forum, </w:t>
      </w:r>
      <w:r w:rsidRPr="000476A7">
        <w:rPr>
          <w:sz w:val="26"/>
          <w:szCs w:val="26"/>
        </w:rPr>
        <w:t>obtidas do</w:t>
      </w:r>
      <w:r w:rsidRPr="000476A7">
        <w:rPr>
          <w:i/>
          <w:sz w:val="26"/>
          <w:szCs w:val="26"/>
        </w:rPr>
        <w:t xml:space="preserve"> </w:t>
      </w:r>
      <w:r w:rsidRPr="000476A7">
        <w:rPr>
          <w:sz w:val="26"/>
          <w:szCs w:val="26"/>
        </w:rPr>
        <w:t>relatório anual de competitividade global</w:t>
      </w:r>
      <w:r w:rsidRPr="000476A7">
        <w:rPr>
          <w:i/>
          <w:sz w:val="26"/>
          <w:szCs w:val="26"/>
        </w:rPr>
        <w:t>,</w:t>
      </w:r>
      <w:r w:rsidRPr="000476A7">
        <w:rPr>
          <w:sz w:val="26"/>
          <w:szCs w:val="26"/>
        </w:rPr>
        <w:t xml:space="preserve"> o Brasil ocupa posição deficitária, com viés de queda</w:t>
      </w:r>
      <w:r w:rsidR="00924984">
        <w:rPr>
          <w:sz w:val="26"/>
          <w:szCs w:val="26"/>
        </w:rPr>
        <w:t xml:space="preserve"> em praticamente todos os setores</w:t>
      </w:r>
      <w:r w:rsidRPr="000476A7">
        <w:rPr>
          <w:sz w:val="26"/>
          <w:szCs w:val="26"/>
        </w:rPr>
        <w:t>.</w:t>
      </w:r>
      <w:r w:rsidR="007D1473">
        <w:rPr>
          <w:sz w:val="26"/>
          <w:szCs w:val="26"/>
        </w:rPr>
        <w:t xml:space="preserve"> O que pode ser evidenciado </w:t>
      </w:r>
      <w:r w:rsidR="00924984">
        <w:rPr>
          <w:sz w:val="26"/>
          <w:szCs w:val="26"/>
        </w:rPr>
        <w:t>pelas</w:t>
      </w:r>
      <w:r w:rsidR="007D1473">
        <w:rPr>
          <w:sz w:val="26"/>
          <w:szCs w:val="26"/>
        </w:rPr>
        <w:t xml:space="preserve"> posições relativas dessas nações no </w:t>
      </w:r>
      <w:r w:rsidR="007D1473" w:rsidRPr="00924984">
        <w:rPr>
          <w:i/>
          <w:sz w:val="26"/>
          <w:szCs w:val="26"/>
        </w:rPr>
        <w:t>ranking</w:t>
      </w:r>
      <w:r w:rsidR="007D1473">
        <w:rPr>
          <w:sz w:val="26"/>
          <w:szCs w:val="26"/>
        </w:rPr>
        <w:t xml:space="preserve">. Para complementar, didaticamente, são apresentadas tabelas com as posições relativas </w:t>
      </w:r>
      <w:r w:rsidR="00924984">
        <w:rPr>
          <w:sz w:val="26"/>
          <w:szCs w:val="26"/>
        </w:rPr>
        <w:t>das</w:t>
      </w:r>
      <w:r w:rsidR="007D1473">
        <w:rPr>
          <w:sz w:val="26"/>
          <w:szCs w:val="26"/>
        </w:rPr>
        <w:t xml:space="preserve"> </w:t>
      </w:r>
      <w:r w:rsidR="00924984">
        <w:rPr>
          <w:sz w:val="26"/>
          <w:szCs w:val="26"/>
        </w:rPr>
        <w:t xml:space="preserve">supracitadas </w:t>
      </w:r>
      <w:r w:rsidR="007D1473">
        <w:rPr>
          <w:sz w:val="26"/>
          <w:szCs w:val="26"/>
        </w:rPr>
        <w:t>naç</w:t>
      </w:r>
      <w:r w:rsidR="00924984">
        <w:rPr>
          <w:sz w:val="26"/>
          <w:szCs w:val="26"/>
        </w:rPr>
        <w:t>ões</w:t>
      </w:r>
      <w:r w:rsidR="007D1473">
        <w:rPr>
          <w:sz w:val="26"/>
          <w:szCs w:val="26"/>
        </w:rPr>
        <w:t xml:space="preserve"> em cada área de infraestrutura analisada, rodovias, ferrovias, portos e aeroportos.</w:t>
      </w:r>
    </w:p>
    <w:p w:rsidR="00882C3A" w:rsidRPr="000476A7" w:rsidRDefault="008E1546" w:rsidP="00882C3A">
      <w:pPr>
        <w:pStyle w:val="Ttulo0"/>
        <w:rPr>
          <w:sz w:val="26"/>
          <w:szCs w:val="26"/>
        </w:rPr>
      </w:pPr>
      <w:bookmarkStart w:id="11" w:name="_Toc442974380"/>
      <w:r>
        <w:rPr>
          <w:sz w:val="26"/>
          <w:szCs w:val="26"/>
        </w:rPr>
        <w:t>3</w:t>
      </w:r>
      <w:r w:rsidR="00E2791C" w:rsidRPr="000476A7">
        <w:rPr>
          <w:sz w:val="26"/>
          <w:szCs w:val="26"/>
        </w:rPr>
        <w:t>.2</w:t>
      </w:r>
      <w:r w:rsidR="00333553" w:rsidRPr="000476A7">
        <w:rPr>
          <w:sz w:val="26"/>
          <w:szCs w:val="26"/>
        </w:rPr>
        <w:t>.1</w:t>
      </w:r>
      <w:r w:rsidR="00882C3A" w:rsidRPr="000476A7">
        <w:rPr>
          <w:sz w:val="26"/>
          <w:szCs w:val="26"/>
        </w:rPr>
        <w:t xml:space="preserve"> </w:t>
      </w:r>
      <w:r w:rsidR="00333553" w:rsidRPr="000476A7">
        <w:rPr>
          <w:sz w:val="26"/>
          <w:szCs w:val="26"/>
        </w:rPr>
        <w:t>Qualidade Da Infraestrutura Rodoviária</w:t>
      </w:r>
      <w:bookmarkEnd w:id="11"/>
      <w:r w:rsidR="00333553" w:rsidRPr="000476A7">
        <w:rPr>
          <w:sz w:val="26"/>
          <w:szCs w:val="26"/>
        </w:rPr>
        <w:t xml:space="preserve"> </w:t>
      </w:r>
    </w:p>
    <w:p w:rsidR="007D1473" w:rsidRDefault="001C0B6C" w:rsidP="007D1473">
      <w:pPr>
        <w:spacing w:after="360"/>
        <w:ind w:firstLine="1418"/>
        <w:jc w:val="both"/>
        <w:rPr>
          <w:sz w:val="26"/>
          <w:szCs w:val="26"/>
        </w:rPr>
      </w:pPr>
      <w:r w:rsidRPr="000476A7">
        <w:rPr>
          <w:sz w:val="26"/>
          <w:szCs w:val="26"/>
        </w:rPr>
        <w:t xml:space="preserve">A </w:t>
      </w:r>
      <w:r w:rsidR="00033D16">
        <w:rPr>
          <w:sz w:val="26"/>
          <w:szCs w:val="26"/>
        </w:rPr>
        <w:t>tabela 5</w:t>
      </w:r>
      <w:r w:rsidRPr="000476A7">
        <w:rPr>
          <w:sz w:val="26"/>
          <w:szCs w:val="26"/>
        </w:rPr>
        <w:t xml:space="preserve"> ilustra a posição dos EUA</w:t>
      </w:r>
      <w:r w:rsidR="00F3293F" w:rsidRPr="000476A7">
        <w:rPr>
          <w:sz w:val="26"/>
          <w:szCs w:val="26"/>
        </w:rPr>
        <w:t>, Chile e Argentina</w:t>
      </w:r>
      <w:r w:rsidRPr="000476A7">
        <w:rPr>
          <w:sz w:val="26"/>
          <w:szCs w:val="26"/>
        </w:rPr>
        <w:t xml:space="preserve"> mais os países do BRICS no </w:t>
      </w:r>
      <w:r w:rsidRPr="000476A7">
        <w:rPr>
          <w:i/>
          <w:sz w:val="26"/>
          <w:szCs w:val="26"/>
        </w:rPr>
        <w:t>ranking</w:t>
      </w:r>
      <w:r w:rsidRPr="000476A7">
        <w:rPr>
          <w:sz w:val="26"/>
          <w:szCs w:val="26"/>
        </w:rPr>
        <w:t xml:space="preserve"> do </w:t>
      </w:r>
      <w:r w:rsidRPr="000476A7">
        <w:rPr>
          <w:i/>
          <w:sz w:val="26"/>
          <w:szCs w:val="26"/>
        </w:rPr>
        <w:t>World Econ</w:t>
      </w:r>
      <w:r w:rsidR="00BC08DE" w:rsidRPr="000476A7">
        <w:rPr>
          <w:i/>
          <w:sz w:val="26"/>
          <w:szCs w:val="26"/>
        </w:rPr>
        <w:t>o</w:t>
      </w:r>
      <w:r w:rsidRPr="000476A7">
        <w:rPr>
          <w:i/>
          <w:sz w:val="26"/>
          <w:szCs w:val="26"/>
        </w:rPr>
        <w:t xml:space="preserve">mic Forum </w:t>
      </w:r>
      <w:r w:rsidRPr="000476A7">
        <w:rPr>
          <w:sz w:val="26"/>
          <w:szCs w:val="26"/>
        </w:rPr>
        <w:t>desde a avaliação do biênio 2008-2009 até a avaliação</w:t>
      </w:r>
      <w:r w:rsidRPr="000476A7">
        <w:rPr>
          <w:i/>
          <w:sz w:val="26"/>
          <w:szCs w:val="26"/>
        </w:rPr>
        <w:t xml:space="preserve"> </w:t>
      </w:r>
      <w:r w:rsidRPr="000476A7">
        <w:rPr>
          <w:sz w:val="26"/>
          <w:szCs w:val="26"/>
        </w:rPr>
        <w:t>do biênio 2014-2015.</w:t>
      </w:r>
    </w:p>
    <w:p w:rsidR="001C0B6C" w:rsidRPr="000476A7" w:rsidRDefault="001C0B6C" w:rsidP="007D1473">
      <w:pPr>
        <w:spacing w:after="360"/>
        <w:jc w:val="both"/>
        <w:rPr>
          <w:sz w:val="26"/>
          <w:szCs w:val="26"/>
        </w:rPr>
      </w:pPr>
    </w:p>
    <w:p w:rsidR="000A4706" w:rsidRDefault="000A4706" w:rsidP="000A4706">
      <w:pPr>
        <w:pStyle w:val="Legenda"/>
        <w:keepNext/>
      </w:pPr>
      <w:r>
        <w:t xml:space="preserve">Tabela </w:t>
      </w:r>
      <w:fldSimple w:instr=" SEQ Tabela \* ARABIC ">
        <w:r w:rsidR="00780B83">
          <w:rPr>
            <w:noProof/>
          </w:rPr>
          <w:t>5</w:t>
        </w:r>
      </w:fldSimple>
      <w:r>
        <w:t xml:space="preserve"> - </w:t>
      </w:r>
      <w:r w:rsidRPr="000A4706">
        <w:t>Ranking da Qualidade da Infraestrutura Rodoviária - BRICS, Argentina, Chile e EUA, 2008 a 2015</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032"/>
        <w:gridCol w:w="1033"/>
        <w:gridCol w:w="1033"/>
        <w:gridCol w:w="1032"/>
        <w:gridCol w:w="1033"/>
        <w:gridCol w:w="1033"/>
        <w:gridCol w:w="1033"/>
      </w:tblGrid>
      <w:tr w:rsidR="00522B5B" w:rsidRPr="001B1266" w:rsidTr="005C79A4">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Ranking</w:t>
            </w:r>
            <w:r w:rsidR="005C79A4" w:rsidRPr="001B1266">
              <w:rPr>
                <w:sz w:val="20"/>
                <w:szCs w:val="20"/>
              </w:rPr>
              <w:t xml:space="preserve"> – Qualidade da Infraestrutura </w:t>
            </w:r>
          </w:p>
          <w:p w:rsidR="005C79A4" w:rsidRPr="001B1266" w:rsidRDefault="005C79A4" w:rsidP="00522B5B">
            <w:pPr>
              <w:rPr>
                <w:sz w:val="20"/>
                <w:szCs w:val="20"/>
              </w:rPr>
            </w:pPr>
            <w:r w:rsidRPr="001B1266">
              <w:rPr>
                <w:sz w:val="20"/>
                <w:szCs w:val="20"/>
              </w:rPr>
              <w:t>Rodoviária</w:t>
            </w:r>
          </w:p>
        </w:tc>
        <w:tc>
          <w:tcPr>
            <w:tcW w:w="1032"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2008-2009</w:t>
            </w:r>
          </w:p>
          <w:p w:rsidR="005C79A4" w:rsidRPr="001B1266" w:rsidRDefault="005C79A4" w:rsidP="005C79A4">
            <w:pPr>
              <w:jc w:val="center"/>
              <w:rPr>
                <w:b/>
                <w:sz w:val="20"/>
                <w:szCs w:val="20"/>
              </w:rPr>
            </w:pPr>
            <w:r w:rsidRPr="001B1266">
              <w:rPr>
                <w:b/>
                <w:sz w:val="20"/>
                <w:szCs w:val="20"/>
              </w:rPr>
              <w:t>(134)</w:t>
            </w:r>
          </w:p>
        </w:tc>
        <w:tc>
          <w:tcPr>
            <w:tcW w:w="1033"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2009-2010</w:t>
            </w:r>
          </w:p>
          <w:p w:rsidR="005C79A4" w:rsidRPr="001B1266" w:rsidRDefault="005C79A4" w:rsidP="005C79A4">
            <w:pPr>
              <w:jc w:val="center"/>
              <w:rPr>
                <w:b/>
                <w:sz w:val="20"/>
                <w:szCs w:val="20"/>
              </w:rPr>
            </w:pPr>
            <w:r w:rsidRPr="001B1266">
              <w:rPr>
                <w:b/>
                <w:sz w:val="20"/>
                <w:szCs w:val="20"/>
              </w:rPr>
              <w:t>(133)</w:t>
            </w:r>
          </w:p>
        </w:tc>
        <w:tc>
          <w:tcPr>
            <w:tcW w:w="1033"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2010-2011</w:t>
            </w:r>
          </w:p>
          <w:p w:rsidR="005C79A4" w:rsidRPr="001B1266" w:rsidRDefault="005C79A4" w:rsidP="005C79A4">
            <w:pPr>
              <w:jc w:val="center"/>
              <w:rPr>
                <w:b/>
                <w:sz w:val="20"/>
                <w:szCs w:val="20"/>
              </w:rPr>
            </w:pPr>
            <w:r w:rsidRPr="001B1266">
              <w:rPr>
                <w:b/>
                <w:sz w:val="20"/>
                <w:szCs w:val="20"/>
              </w:rPr>
              <w:t>(139)</w:t>
            </w:r>
          </w:p>
        </w:tc>
        <w:tc>
          <w:tcPr>
            <w:tcW w:w="1032"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2011-2012</w:t>
            </w:r>
          </w:p>
          <w:p w:rsidR="005C79A4" w:rsidRPr="001B1266" w:rsidRDefault="005C79A4" w:rsidP="005C79A4">
            <w:pPr>
              <w:jc w:val="center"/>
              <w:rPr>
                <w:b/>
                <w:sz w:val="20"/>
                <w:szCs w:val="20"/>
              </w:rPr>
            </w:pPr>
            <w:r w:rsidRPr="001B1266">
              <w:rPr>
                <w:b/>
                <w:sz w:val="20"/>
                <w:szCs w:val="20"/>
              </w:rPr>
              <w:t>(142)</w:t>
            </w:r>
          </w:p>
        </w:tc>
        <w:tc>
          <w:tcPr>
            <w:tcW w:w="1033"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2012-2013</w:t>
            </w:r>
          </w:p>
          <w:p w:rsidR="005C79A4" w:rsidRPr="001B1266" w:rsidRDefault="005C79A4" w:rsidP="005C79A4">
            <w:pPr>
              <w:jc w:val="center"/>
              <w:rPr>
                <w:b/>
                <w:sz w:val="20"/>
                <w:szCs w:val="20"/>
              </w:rPr>
            </w:pPr>
            <w:r w:rsidRPr="001B1266">
              <w:rPr>
                <w:b/>
                <w:sz w:val="20"/>
                <w:szCs w:val="20"/>
              </w:rPr>
              <w:t>(144)</w:t>
            </w:r>
          </w:p>
        </w:tc>
        <w:tc>
          <w:tcPr>
            <w:tcW w:w="1033"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2013-2014</w:t>
            </w:r>
          </w:p>
          <w:p w:rsidR="005C79A4" w:rsidRPr="001B1266" w:rsidRDefault="005C79A4" w:rsidP="005C79A4">
            <w:pPr>
              <w:jc w:val="center"/>
              <w:rPr>
                <w:b/>
                <w:sz w:val="20"/>
                <w:szCs w:val="20"/>
              </w:rPr>
            </w:pPr>
            <w:r w:rsidRPr="001B1266">
              <w:rPr>
                <w:b/>
                <w:sz w:val="20"/>
                <w:szCs w:val="20"/>
              </w:rPr>
              <w:t>(148)</w:t>
            </w:r>
          </w:p>
        </w:tc>
        <w:tc>
          <w:tcPr>
            <w:tcW w:w="1033" w:type="dxa"/>
            <w:shd w:val="clear" w:color="auto" w:fill="auto"/>
            <w:noWrap/>
            <w:vAlign w:val="center"/>
            <w:hideMark/>
          </w:tcPr>
          <w:p w:rsidR="00522B5B" w:rsidRPr="001B1266" w:rsidRDefault="00522B5B" w:rsidP="005C79A4">
            <w:pPr>
              <w:jc w:val="center"/>
              <w:rPr>
                <w:b/>
                <w:sz w:val="20"/>
                <w:szCs w:val="20"/>
              </w:rPr>
            </w:pPr>
            <w:r w:rsidRPr="001B1266">
              <w:rPr>
                <w:b/>
                <w:sz w:val="20"/>
                <w:szCs w:val="20"/>
              </w:rPr>
              <w:t>2014-2015</w:t>
            </w:r>
          </w:p>
          <w:p w:rsidR="005C79A4" w:rsidRPr="001B1266" w:rsidRDefault="005C79A4" w:rsidP="005C79A4">
            <w:pPr>
              <w:jc w:val="center"/>
              <w:rPr>
                <w:b/>
                <w:sz w:val="20"/>
                <w:szCs w:val="20"/>
              </w:rPr>
            </w:pPr>
            <w:r w:rsidRPr="001B1266">
              <w:rPr>
                <w:b/>
                <w:sz w:val="20"/>
                <w:szCs w:val="20"/>
              </w:rPr>
              <w:t>(144)</w:t>
            </w:r>
          </w:p>
        </w:tc>
      </w:tr>
      <w:tr w:rsidR="00522B5B" w:rsidRPr="001B1266" w:rsidTr="00522B5B">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EUA</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8</w:t>
            </w:r>
            <w:r w:rsidR="005C79A4" w:rsidRPr="001B1266">
              <w:rPr>
                <w:sz w:val="20"/>
                <w:szCs w:val="20"/>
              </w:rPr>
              <w:t>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11</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19</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20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20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18</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16</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Chile</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22</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15</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22</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23</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27</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31</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C79A4" w:rsidP="00522B5B">
            <w:pPr>
              <w:rPr>
                <w:sz w:val="20"/>
                <w:szCs w:val="20"/>
              </w:rPr>
            </w:pPr>
            <w:r w:rsidRPr="001B1266">
              <w:rPr>
                <w:sz w:val="20"/>
                <w:szCs w:val="20"/>
              </w:rPr>
              <w:t>Á</w:t>
            </w:r>
            <w:r w:rsidR="00522B5B" w:rsidRPr="001B1266">
              <w:rPr>
                <w:sz w:val="20"/>
                <w:szCs w:val="20"/>
              </w:rPr>
              <w:t>frica do Sul</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40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40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43</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43</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42</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41</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37</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China</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51</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50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53</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54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54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54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49</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C79A4" w:rsidP="00522B5B">
            <w:pPr>
              <w:rPr>
                <w:sz w:val="20"/>
                <w:szCs w:val="20"/>
              </w:rPr>
            </w:pPr>
            <w:r w:rsidRPr="001B1266">
              <w:rPr>
                <w:sz w:val="20"/>
                <w:szCs w:val="20"/>
              </w:rPr>
              <w:t>Í</w:t>
            </w:r>
            <w:r w:rsidR="00522B5B" w:rsidRPr="001B1266">
              <w:rPr>
                <w:sz w:val="20"/>
                <w:szCs w:val="20"/>
              </w:rPr>
              <w:t>ndia</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87</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89</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90</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85</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86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84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76</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Argentina</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89</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84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89</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96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106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103</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110</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22B5B" w:rsidP="00522B5B">
            <w:pPr>
              <w:rPr>
                <w:sz w:val="20"/>
                <w:szCs w:val="20"/>
              </w:rPr>
            </w:pPr>
            <w:r w:rsidRPr="001B1266">
              <w:rPr>
                <w:sz w:val="20"/>
                <w:szCs w:val="20"/>
              </w:rPr>
              <w:t>Brasil</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110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106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105</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118</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123</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122</w:t>
            </w:r>
            <w:r w:rsidR="005C79A4" w:rsidRPr="001B1266">
              <w:rPr>
                <w:sz w:val="20"/>
                <w:szCs w:val="20"/>
              </w:rPr>
              <w:t xml:space="preserve"> º</w:t>
            </w:r>
          </w:p>
        </w:tc>
      </w:tr>
      <w:tr w:rsidR="00522B5B" w:rsidRPr="001B1266" w:rsidTr="00522B5B">
        <w:trPr>
          <w:trHeight w:val="300"/>
        </w:trPr>
        <w:tc>
          <w:tcPr>
            <w:tcW w:w="1560" w:type="dxa"/>
            <w:shd w:val="clear" w:color="auto" w:fill="auto"/>
            <w:noWrap/>
            <w:vAlign w:val="bottom"/>
            <w:hideMark/>
          </w:tcPr>
          <w:p w:rsidR="00522B5B" w:rsidRPr="001B1266" w:rsidRDefault="005C79A4" w:rsidP="00522B5B">
            <w:pPr>
              <w:rPr>
                <w:sz w:val="20"/>
                <w:szCs w:val="20"/>
              </w:rPr>
            </w:pPr>
            <w:r w:rsidRPr="001B1266">
              <w:rPr>
                <w:sz w:val="20"/>
                <w:szCs w:val="20"/>
              </w:rPr>
              <w:t>Rú</w:t>
            </w:r>
            <w:r w:rsidR="00522B5B" w:rsidRPr="001B1266">
              <w:rPr>
                <w:sz w:val="20"/>
                <w:szCs w:val="20"/>
              </w:rPr>
              <w:t>ssia</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104</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118</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125</w:t>
            </w:r>
            <w:r w:rsidR="005C79A4" w:rsidRPr="001B1266">
              <w:rPr>
                <w:sz w:val="20"/>
                <w:szCs w:val="20"/>
              </w:rPr>
              <w:t xml:space="preserve"> º</w:t>
            </w:r>
          </w:p>
        </w:tc>
        <w:tc>
          <w:tcPr>
            <w:tcW w:w="1032" w:type="dxa"/>
            <w:shd w:val="clear" w:color="auto" w:fill="auto"/>
            <w:noWrap/>
            <w:vAlign w:val="bottom"/>
            <w:hideMark/>
          </w:tcPr>
          <w:p w:rsidR="00522B5B" w:rsidRPr="001B1266" w:rsidRDefault="00522B5B" w:rsidP="00522B5B">
            <w:pPr>
              <w:jc w:val="center"/>
              <w:rPr>
                <w:sz w:val="20"/>
                <w:szCs w:val="20"/>
              </w:rPr>
            </w:pPr>
            <w:r w:rsidRPr="001B1266">
              <w:rPr>
                <w:sz w:val="20"/>
                <w:szCs w:val="20"/>
              </w:rPr>
              <w:t>130</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136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136</w:t>
            </w:r>
            <w:r w:rsidR="005C79A4" w:rsidRPr="001B1266">
              <w:rPr>
                <w:sz w:val="20"/>
                <w:szCs w:val="20"/>
              </w:rPr>
              <w:t xml:space="preserve"> º</w:t>
            </w:r>
          </w:p>
        </w:tc>
        <w:tc>
          <w:tcPr>
            <w:tcW w:w="1033" w:type="dxa"/>
            <w:shd w:val="clear" w:color="auto" w:fill="auto"/>
            <w:noWrap/>
            <w:vAlign w:val="bottom"/>
            <w:hideMark/>
          </w:tcPr>
          <w:p w:rsidR="00522B5B" w:rsidRPr="001B1266" w:rsidRDefault="00522B5B" w:rsidP="00522B5B">
            <w:pPr>
              <w:jc w:val="center"/>
              <w:rPr>
                <w:sz w:val="20"/>
                <w:szCs w:val="20"/>
              </w:rPr>
            </w:pPr>
            <w:r w:rsidRPr="001B1266">
              <w:rPr>
                <w:sz w:val="20"/>
                <w:szCs w:val="20"/>
              </w:rPr>
              <w:t>124</w:t>
            </w:r>
            <w:r w:rsidR="005C79A4" w:rsidRPr="001B1266">
              <w:rPr>
                <w:sz w:val="20"/>
                <w:szCs w:val="20"/>
              </w:rPr>
              <w:t xml:space="preserve"> º</w:t>
            </w:r>
          </w:p>
        </w:tc>
      </w:tr>
    </w:tbl>
    <w:p w:rsidR="007D1473" w:rsidRDefault="007D1473" w:rsidP="007D1473">
      <w:pPr>
        <w:spacing w:after="360"/>
        <w:ind w:firstLine="1418"/>
        <w:jc w:val="both"/>
        <w:rPr>
          <w:sz w:val="26"/>
          <w:szCs w:val="26"/>
        </w:rPr>
      </w:pPr>
    </w:p>
    <w:p w:rsidR="00CE528D" w:rsidRPr="00033D16" w:rsidRDefault="0046717D" w:rsidP="00033D16">
      <w:pPr>
        <w:spacing w:after="360"/>
        <w:ind w:firstLine="1418"/>
        <w:jc w:val="both"/>
        <w:rPr>
          <w:sz w:val="26"/>
          <w:szCs w:val="26"/>
        </w:rPr>
      </w:pPr>
      <w:r>
        <w:rPr>
          <w:sz w:val="26"/>
          <w:szCs w:val="26"/>
        </w:rPr>
        <w:t xml:space="preserve">A </w:t>
      </w:r>
      <w:r w:rsidR="007D1473">
        <w:rPr>
          <w:sz w:val="26"/>
          <w:szCs w:val="26"/>
        </w:rPr>
        <w:t>Pesquisa CNT</w:t>
      </w:r>
      <w:r w:rsidR="00955092">
        <w:rPr>
          <w:sz w:val="26"/>
          <w:szCs w:val="26"/>
        </w:rPr>
        <w:t xml:space="preserve"> de rodovias de 2015 aponta que parte da malha rodoviária brasileira não é adequada para o tráfego de bens e pessoas</w:t>
      </w:r>
      <w:r w:rsidR="00E15225">
        <w:rPr>
          <w:sz w:val="26"/>
          <w:szCs w:val="26"/>
        </w:rPr>
        <w:t>, pois a maioria das vias apresenta algum tipo de defeito, seja o vício existente no pavimento, na sinalização ou na geometria da via</w:t>
      </w:r>
      <w:r w:rsidR="00955092">
        <w:rPr>
          <w:sz w:val="26"/>
          <w:szCs w:val="26"/>
        </w:rPr>
        <w:t>.</w:t>
      </w:r>
      <w:r w:rsidR="001C2E30">
        <w:rPr>
          <w:sz w:val="26"/>
          <w:szCs w:val="26"/>
        </w:rPr>
        <w:t xml:space="preserve"> Segundo a CNT, a malha rodoviária brasileira tem a seguinte </w:t>
      </w:r>
      <w:r w:rsidR="008C40A3">
        <w:rPr>
          <w:sz w:val="26"/>
          <w:szCs w:val="26"/>
        </w:rPr>
        <w:t>distribuiç</w:t>
      </w:r>
      <w:r w:rsidR="003B7C47">
        <w:rPr>
          <w:sz w:val="26"/>
          <w:szCs w:val="26"/>
        </w:rPr>
        <w:t>ão</w:t>
      </w:r>
      <w:r w:rsidR="008C40A3">
        <w:rPr>
          <w:sz w:val="26"/>
          <w:szCs w:val="26"/>
        </w:rPr>
        <w:t xml:space="preserve"> em relação a sua gestão</w:t>
      </w:r>
      <w:r w:rsidR="001C2E30">
        <w:rPr>
          <w:sz w:val="26"/>
          <w:szCs w:val="26"/>
        </w:rPr>
        <w:t>.</w:t>
      </w:r>
    </w:p>
    <w:p w:rsidR="000A4706" w:rsidRDefault="000A4706" w:rsidP="000A4706">
      <w:pPr>
        <w:pStyle w:val="Legenda"/>
        <w:keepNext/>
      </w:pPr>
      <w:r>
        <w:t xml:space="preserve">Tabela </w:t>
      </w:r>
      <w:fldSimple w:instr=" SEQ Tabela \* ARABIC ">
        <w:r w:rsidR="00780B83">
          <w:rPr>
            <w:noProof/>
          </w:rPr>
          <w:t>6</w:t>
        </w:r>
      </w:fldSimple>
      <w:r>
        <w:t xml:space="preserve"> </w:t>
      </w:r>
      <w:r w:rsidRPr="001B1266">
        <w:t>– Distribuição da malha rodoviária brasileira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966"/>
        <w:gridCol w:w="1958"/>
        <w:gridCol w:w="1943"/>
      </w:tblGrid>
      <w:tr w:rsidR="001B1266" w:rsidRPr="001B1266" w:rsidTr="001B1266">
        <w:tc>
          <w:tcPr>
            <w:tcW w:w="2998" w:type="dxa"/>
          </w:tcPr>
          <w:p w:rsidR="001B1266" w:rsidRPr="001B1266" w:rsidRDefault="001B1266" w:rsidP="001575C1">
            <w:pPr>
              <w:jc w:val="both"/>
              <w:rPr>
                <w:sz w:val="20"/>
                <w:szCs w:val="20"/>
              </w:rPr>
            </w:pPr>
            <w:r w:rsidRPr="001B1266">
              <w:rPr>
                <w:sz w:val="20"/>
                <w:szCs w:val="20"/>
              </w:rPr>
              <w:t>Descrição</w:t>
            </w:r>
          </w:p>
        </w:tc>
        <w:tc>
          <w:tcPr>
            <w:tcW w:w="2002" w:type="dxa"/>
          </w:tcPr>
          <w:p w:rsidR="001B1266" w:rsidRPr="001B1266" w:rsidRDefault="001B1266" w:rsidP="001575C1">
            <w:pPr>
              <w:jc w:val="center"/>
              <w:rPr>
                <w:sz w:val="20"/>
                <w:szCs w:val="20"/>
              </w:rPr>
            </w:pPr>
            <w:r>
              <w:rPr>
                <w:sz w:val="20"/>
                <w:szCs w:val="20"/>
              </w:rPr>
              <w:t>k</w:t>
            </w:r>
            <w:r w:rsidRPr="001B1266">
              <w:rPr>
                <w:sz w:val="20"/>
                <w:szCs w:val="20"/>
              </w:rPr>
              <w:t>m</w:t>
            </w:r>
          </w:p>
        </w:tc>
        <w:tc>
          <w:tcPr>
            <w:tcW w:w="2002" w:type="dxa"/>
          </w:tcPr>
          <w:p w:rsidR="001B1266" w:rsidRPr="001B1266" w:rsidRDefault="001B1266" w:rsidP="00302002">
            <w:pPr>
              <w:ind w:right="549"/>
              <w:jc w:val="right"/>
              <w:rPr>
                <w:sz w:val="20"/>
                <w:szCs w:val="20"/>
              </w:rPr>
            </w:pPr>
            <w:r>
              <w:rPr>
                <w:sz w:val="20"/>
                <w:szCs w:val="20"/>
              </w:rPr>
              <w:t>km</w:t>
            </w:r>
          </w:p>
        </w:tc>
        <w:tc>
          <w:tcPr>
            <w:tcW w:w="2002" w:type="dxa"/>
          </w:tcPr>
          <w:p w:rsidR="001B1266" w:rsidRPr="001B1266" w:rsidRDefault="001B1266" w:rsidP="001575C1">
            <w:pPr>
              <w:ind w:right="283"/>
              <w:jc w:val="right"/>
              <w:rPr>
                <w:sz w:val="20"/>
                <w:szCs w:val="20"/>
              </w:rPr>
            </w:pPr>
            <w:r w:rsidRPr="001B1266">
              <w:rPr>
                <w:sz w:val="20"/>
                <w:szCs w:val="20"/>
              </w:rPr>
              <w:t>%</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não pavimentadas</w:t>
            </w:r>
          </w:p>
        </w:tc>
        <w:tc>
          <w:tcPr>
            <w:tcW w:w="2002" w:type="dxa"/>
          </w:tcPr>
          <w:p w:rsidR="001B1266" w:rsidRPr="001B1266" w:rsidRDefault="001B1266" w:rsidP="001575C1">
            <w:pPr>
              <w:ind w:right="300"/>
              <w:jc w:val="right"/>
              <w:rPr>
                <w:sz w:val="20"/>
                <w:szCs w:val="20"/>
              </w:rPr>
            </w:pPr>
            <w:r w:rsidRPr="001B1266">
              <w:rPr>
                <w:sz w:val="20"/>
                <w:szCs w:val="20"/>
              </w:rPr>
              <w:t>1.353.186</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78,6</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planejadas</w:t>
            </w:r>
          </w:p>
        </w:tc>
        <w:tc>
          <w:tcPr>
            <w:tcW w:w="2002" w:type="dxa"/>
          </w:tcPr>
          <w:p w:rsidR="001B1266" w:rsidRPr="001B1266" w:rsidRDefault="001B1266" w:rsidP="001575C1">
            <w:pPr>
              <w:ind w:right="300"/>
              <w:jc w:val="right"/>
              <w:rPr>
                <w:sz w:val="20"/>
                <w:szCs w:val="20"/>
              </w:rPr>
            </w:pPr>
            <w:r w:rsidRPr="001B1266">
              <w:rPr>
                <w:sz w:val="20"/>
                <w:szCs w:val="20"/>
              </w:rPr>
              <w:t>154.192</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9,0</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pavimentadas</w:t>
            </w:r>
          </w:p>
        </w:tc>
        <w:tc>
          <w:tcPr>
            <w:tcW w:w="2002" w:type="dxa"/>
          </w:tcPr>
          <w:p w:rsidR="001B1266" w:rsidRPr="001B1266" w:rsidRDefault="001B1266" w:rsidP="001575C1">
            <w:pPr>
              <w:ind w:right="300"/>
              <w:jc w:val="right"/>
              <w:rPr>
                <w:sz w:val="20"/>
                <w:szCs w:val="20"/>
              </w:rPr>
            </w:pPr>
            <w:r w:rsidRPr="001B1266">
              <w:rPr>
                <w:sz w:val="20"/>
                <w:szCs w:val="20"/>
              </w:rPr>
              <w:t>213.299</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12,4</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federais pavimentadas</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66.712</w:t>
            </w:r>
          </w:p>
        </w:tc>
        <w:tc>
          <w:tcPr>
            <w:tcW w:w="2002" w:type="dxa"/>
          </w:tcPr>
          <w:p w:rsidR="001B1266" w:rsidRPr="001B1266" w:rsidRDefault="001B1266" w:rsidP="001575C1">
            <w:pPr>
              <w:ind w:right="300"/>
              <w:jc w:val="right"/>
              <w:rPr>
                <w:sz w:val="20"/>
                <w:szCs w:val="20"/>
              </w:rPr>
            </w:pPr>
            <w:r w:rsidRPr="001B1266">
              <w:rPr>
                <w:sz w:val="20"/>
                <w:szCs w:val="20"/>
              </w:rPr>
              <w:t>3,9</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estaduais pavimentadas</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119.691</w:t>
            </w:r>
          </w:p>
        </w:tc>
        <w:tc>
          <w:tcPr>
            <w:tcW w:w="2002" w:type="dxa"/>
          </w:tcPr>
          <w:p w:rsidR="001B1266" w:rsidRPr="001B1266" w:rsidRDefault="001B1266" w:rsidP="001575C1">
            <w:pPr>
              <w:ind w:right="300"/>
              <w:jc w:val="right"/>
              <w:rPr>
                <w:sz w:val="20"/>
                <w:szCs w:val="20"/>
              </w:rPr>
            </w:pPr>
            <w:r w:rsidRPr="001B1266">
              <w:rPr>
                <w:sz w:val="20"/>
                <w:szCs w:val="20"/>
              </w:rPr>
              <w:t>7,0</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municipais pavimentadas</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26.826</w:t>
            </w:r>
          </w:p>
        </w:tc>
        <w:tc>
          <w:tcPr>
            <w:tcW w:w="2002" w:type="dxa"/>
          </w:tcPr>
          <w:p w:rsidR="001B1266" w:rsidRPr="001B1266" w:rsidRDefault="001B1266" w:rsidP="001575C1">
            <w:pPr>
              <w:ind w:right="300"/>
              <w:jc w:val="right"/>
              <w:rPr>
                <w:sz w:val="20"/>
                <w:szCs w:val="20"/>
              </w:rPr>
            </w:pPr>
            <w:r w:rsidRPr="001B1266">
              <w:rPr>
                <w:sz w:val="20"/>
                <w:szCs w:val="20"/>
              </w:rPr>
              <w:t>1,6</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federais duplicadas</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5.830</w:t>
            </w:r>
          </w:p>
        </w:tc>
        <w:tc>
          <w:tcPr>
            <w:tcW w:w="2002" w:type="dxa"/>
          </w:tcPr>
          <w:p w:rsidR="001B1266" w:rsidRPr="001B1266" w:rsidRDefault="001B1266" w:rsidP="001575C1">
            <w:pPr>
              <w:ind w:right="300"/>
              <w:jc w:val="right"/>
              <w:rPr>
                <w:sz w:val="20"/>
                <w:szCs w:val="20"/>
              </w:rPr>
            </w:pPr>
            <w:r w:rsidRPr="001B1266">
              <w:rPr>
                <w:sz w:val="20"/>
                <w:szCs w:val="20"/>
              </w:rPr>
              <w:t>0,3</w:t>
            </w:r>
          </w:p>
        </w:tc>
      </w:tr>
      <w:tr w:rsidR="001B1266" w:rsidRPr="001B1266" w:rsidTr="001B1266">
        <w:tc>
          <w:tcPr>
            <w:tcW w:w="2998" w:type="dxa"/>
          </w:tcPr>
          <w:p w:rsidR="001B1266" w:rsidRPr="001B1266" w:rsidRDefault="001B1266" w:rsidP="001575C1">
            <w:pPr>
              <w:jc w:val="both"/>
              <w:rPr>
                <w:sz w:val="20"/>
                <w:szCs w:val="20"/>
              </w:rPr>
            </w:pPr>
            <w:r w:rsidRPr="001B1266">
              <w:rPr>
                <w:sz w:val="20"/>
                <w:szCs w:val="20"/>
              </w:rPr>
              <w:t>Rodovias sob concessão privada</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19.804</w:t>
            </w:r>
          </w:p>
        </w:tc>
        <w:tc>
          <w:tcPr>
            <w:tcW w:w="2002" w:type="dxa"/>
          </w:tcPr>
          <w:p w:rsidR="001B1266" w:rsidRPr="001B1266" w:rsidRDefault="001B1266" w:rsidP="001575C1">
            <w:pPr>
              <w:ind w:right="300"/>
              <w:jc w:val="right"/>
              <w:rPr>
                <w:sz w:val="20"/>
                <w:szCs w:val="20"/>
              </w:rPr>
            </w:pPr>
            <w:r w:rsidRPr="001B1266">
              <w:rPr>
                <w:sz w:val="20"/>
                <w:szCs w:val="20"/>
              </w:rPr>
              <w:t>1,2</w:t>
            </w:r>
          </w:p>
        </w:tc>
      </w:tr>
      <w:tr w:rsidR="001B1266" w:rsidRPr="001B1266" w:rsidTr="001B1266">
        <w:tc>
          <w:tcPr>
            <w:tcW w:w="2998" w:type="dxa"/>
          </w:tcPr>
          <w:p w:rsidR="001B1266" w:rsidRPr="001B1266" w:rsidRDefault="001B1266" w:rsidP="001575C1">
            <w:pPr>
              <w:jc w:val="right"/>
              <w:rPr>
                <w:sz w:val="20"/>
                <w:szCs w:val="20"/>
              </w:rPr>
            </w:pPr>
            <w:r w:rsidRPr="001B1266">
              <w:rPr>
                <w:sz w:val="20"/>
                <w:szCs w:val="20"/>
              </w:rPr>
              <w:t>Total</w:t>
            </w:r>
          </w:p>
        </w:tc>
        <w:tc>
          <w:tcPr>
            <w:tcW w:w="2002" w:type="dxa"/>
          </w:tcPr>
          <w:p w:rsidR="001B1266" w:rsidRPr="001B1266" w:rsidRDefault="001B1266" w:rsidP="001B1266">
            <w:pPr>
              <w:ind w:right="300"/>
              <w:jc w:val="right"/>
              <w:rPr>
                <w:sz w:val="20"/>
                <w:szCs w:val="20"/>
              </w:rPr>
            </w:pPr>
            <w:r w:rsidRPr="001B1266">
              <w:rPr>
                <w:sz w:val="20"/>
                <w:szCs w:val="20"/>
              </w:rPr>
              <w:t>1.7</w:t>
            </w:r>
            <w:r>
              <w:rPr>
                <w:sz w:val="20"/>
                <w:szCs w:val="20"/>
              </w:rPr>
              <w:t>3</w:t>
            </w:r>
            <w:r w:rsidRPr="001B1266">
              <w:rPr>
                <w:sz w:val="20"/>
                <w:szCs w:val="20"/>
              </w:rPr>
              <w:t>0.677</w:t>
            </w:r>
          </w:p>
        </w:tc>
        <w:tc>
          <w:tcPr>
            <w:tcW w:w="2002" w:type="dxa"/>
          </w:tcPr>
          <w:p w:rsidR="001B1266" w:rsidRPr="001B1266" w:rsidRDefault="001B1266" w:rsidP="001575C1">
            <w:pPr>
              <w:ind w:right="300"/>
              <w:jc w:val="right"/>
              <w:rPr>
                <w:sz w:val="20"/>
                <w:szCs w:val="20"/>
              </w:rPr>
            </w:pPr>
          </w:p>
        </w:tc>
        <w:tc>
          <w:tcPr>
            <w:tcW w:w="2002" w:type="dxa"/>
          </w:tcPr>
          <w:p w:rsidR="001B1266" w:rsidRPr="001B1266" w:rsidRDefault="001B1266" w:rsidP="001575C1">
            <w:pPr>
              <w:ind w:right="300"/>
              <w:jc w:val="right"/>
              <w:rPr>
                <w:sz w:val="20"/>
                <w:szCs w:val="20"/>
              </w:rPr>
            </w:pPr>
            <w:r w:rsidRPr="001B1266">
              <w:rPr>
                <w:sz w:val="20"/>
                <w:szCs w:val="20"/>
              </w:rPr>
              <w:t>100</w:t>
            </w:r>
          </w:p>
        </w:tc>
      </w:tr>
    </w:tbl>
    <w:p w:rsidR="007D1473" w:rsidRPr="001B1266" w:rsidRDefault="001B1266" w:rsidP="001C2E30">
      <w:pPr>
        <w:jc w:val="both"/>
        <w:rPr>
          <w:sz w:val="20"/>
          <w:szCs w:val="20"/>
        </w:rPr>
      </w:pPr>
      <w:r w:rsidRPr="001B1266">
        <w:rPr>
          <w:sz w:val="20"/>
          <w:szCs w:val="20"/>
        </w:rPr>
        <w:t>Fonte: CNT, com correções.</w:t>
      </w:r>
    </w:p>
    <w:p w:rsidR="001B1266" w:rsidRDefault="001B1266" w:rsidP="001C2E30">
      <w:pPr>
        <w:jc w:val="both"/>
        <w:rPr>
          <w:sz w:val="26"/>
          <w:szCs w:val="26"/>
        </w:rPr>
      </w:pPr>
    </w:p>
    <w:p w:rsidR="00561703" w:rsidRDefault="00561703" w:rsidP="00561703">
      <w:pPr>
        <w:spacing w:after="360"/>
        <w:ind w:firstLine="1418"/>
        <w:jc w:val="both"/>
        <w:rPr>
          <w:sz w:val="26"/>
          <w:szCs w:val="26"/>
        </w:rPr>
      </w:pPr>
      <w:r>
        <w:rPr>
          <w:sz w:val="26"/>
          <w:szCs w:val="26"/>
        </w:rPr>
        <w:t xml:space="preserve">Pouco mais de dez por cento das rodovias no Brasil são pavimentadas, cerca de nove por cento das rodovias são apenas planejadas. Dos </w:t>
      </w:r>
      <w:r w:rsidRPr="00561703">
        <w:rPr>
          <w:sz w:val="26"/>
          <w:szCs w:val="26"/>
        </w:rPr>
        <w:t>213.299</w:t>
      </w:r>
      <w:r>
        <w:rPr>
          <w:sz w:val="26"/>
          <w:szCs w:val="26"/>
        </w:rPr>
        <w:t xml:space="preserve"> km de rodovias pavimentadas, apenas 66.712 km foram pavimentadas pela administração federal, dos quais apenas 5.830 são duplicados. </w:t>
      </w:r>
      <w:r w:rsidR="00ED1B9D">
        <w:rPr>
          <w:sz w:val="26"/>
          <w:szCs w:val="26"/>
        </w:rPr>
        <w:t>Ademais, a malha brasileira além de pequena ainda é de qualidade sofrível, notadamente aquela sob administração pública.</w:t>
      </w:r>
    </w:p>
    <w:p w:rsidR="003B7C47" w:rsidRPr="00033D16" w:rsidRDefault="00ED1B9D" w:rsidP="00033D16">
      <w:pPr>
        <w:spacing w:after="360"/>
        <w:ind w:firstLine="1418"/>
        <w:jc w:val="both"/>
        <w:rPr>
          <w:sz w:val="26"/>
          <w:szCs w:val="26"/>
        </w:rPr>
      </w:pPr>
      <w:r>
        <w:rPr>
          <w:sz w:val="26"/>
          <w:szCs w:val="26"/>
        </w:rPr>
        <w:t xml:space="preserve">Enquanto cerca de 37% das rodovias sob administração privadas são avaliadas como ótimas, apenas 10,56% das rodovias federais têm essa avaliação, segundo pesquisa da Confederação Nacional dos Transportes. Por outro lado, apenas 2,51% das rodovias </w:t>
      </w:r>
      <w:r w:rsidR="003B7C47">
        <w:rPr>
          <w:sz w:val="26"/>
          <w:szCs w:val="26"/>
        </w:rPr>
        <w:t>sob administração privadas têm avaliação ruim ou péssimo, enquanto esse patamar é de 14,10% nas rodovias sob administração federal.</w:t>
      </w:r>
    </w:p>
    <w:p w:rsidR="001E687D" w:rsidRDefault="001E687D" w:rsidP="001E687D">
      <w:pPr>
        <w:pStyle w:val="Legenda"/>
        <w:keepNext/>
      </w:pPr>
      <w:r>
        <w:t xml:space="preserve">Tabela </w:t>
      </w:r>
      <w:fldSimple w:instr=" SEQ Tabela \* ARABIC ">
        <w:r w:rsidR="00780B83">
          <w:rPr>
            <w:noProof/>
          </w:rPr>
          <w:t>7</w:t>
        </w:r>
      </w:fldSimple>
      <w:r>
        <w:t xml:space="preserve"> - Confronto da qualidade das rodovias federais x privadas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753"/>
        <w:gridCol w:w="1754"/>
        <w:gridCol w:w="1754"/>
        <w:gridCol w:w="1754"/>
      </w:tblGrid>
      <w:tr w:rsidR="00ED1B9D" w:rsidRPr="001575C1" w:rsidTr="001575C1">
        <w:tc>
          <w:tcPr>
            <w:tcW w:w="1785" w:type="dxa"/>
            <w:vMerge w:val="restart"/>
          </w:tcPr>
          <w:p w:rsidR="00ED1B9D" w:rsidRPr="007653E0" w:rsidRDefault="00ED1B9D" w:rsidP="001575C1">
            <w:r>
              <w:t>Qualidade</w:t>
            </w:r>
          </w:p>
        </w:tc>
        <w:tc>
          <w:tcPr>
            <w:tcW w:w="3571" w:type="dxa"/>
            <w:gridSpan w:val="2"/>
          </w:tcPr>
          <w:p w:rsidR="00ED1B9D" w:rsidRPr="007653E0" w:rsidRDefault="00ED1B9D" w:rsidP="001575C1">
            <w:pPr>
              <w:jc w:val="center"/>
            </w:pPr>
            <w:r>
              <w:t>Rodovias Federais</w:t>
            </w:r>
          </w:p>
        </w:tc>
        <w:tc>
          <w:tcPr>
            <w:tcW w:w="3572" w:type="dxa"/>
            <w:gridSpan w:val="2"/>
          </w:tcPr>
          <w:p w:rsidR="00ED1B9D" w:rsidRPr="007653E0" w:rsidRDefault="00ED1B9D" w:rsidP="001575C1">
            <w:pPr>
              <w:jc w:val="center"/>
            </w:pPr>
            <w:r>
              <w:t>Rodovias Concedidas</w:t>
            </w:r>
          </w:p>
        </w:tc>
      </w:tr>
      <w:tr w:rsidR="00ED1B9D" w:rsidRPr="001575C1" w:rsidTr="001575C1">
        <w:tc>
          <w:tcPr>
            <w:tcW w:w="1785" w:type="dxa"/>
            <w:vMerge/>
          </w:tcPr>
          <w:p w:rsidR="00ED1B9D" w:rsidRDefault="00ED1B9D" w:rsidP="001575C1"/>
        </w:tc>
        <w:tc>
          <w:tcPr>
            <w:tcW w:w="1785" w:type="dxa"/>
          </w:tcPr>
          <w:p w:rsidR="00ED1B9D" w:rsidRPr="007653E0" w:rsidRDefault="00ED1B9D" w:rsidP="001575C1">
            <w:pPr>
              <w:jc w:val="right"/>
            </w:pPr>
            <w:r>
              <w:t>km</w:t>
            </w:r>
          </w:p>
        </w:tc>
        <w:tc>
          <w:tcPr>
            <w:tcW w:w="1786" w:type="dxa"/>
          </w:tcPr>
          <w:p w:rsidR="00ED1B9D" w:rsidRPr="007653E0" w:rsidRDefault="00ED1B9D" w:rsidP="001575C1">
            <w:pPr>
              <w:jc w:val="right"/>
            </w:pPr>
            <w:r>
              <w:t>%</w:t>
            </w:r>
          </w:p>
        </w:tc>
        <w:tc>
          <w:tcPr>
            <w:tcW w:w="1786" w:type="dxa"/>
          </w:tcPr>
          <w:p w:rsidR="00ED1B9D" w:rsidRPr="007653E0" w:rsidRDefault="00ED1B9D" w:rsidP="001575C1">
            <w:pPr>
              <w:jc w:val="right"/>
            </w:pPr>
            <w:r>
              <w:t>km</w:t>
            </w:r>
          </w:p>
        </w:tc>
        <w:tc>
          <w:tcPr>
            <w:tcW w:w="1786" w:type="dxa"/>
          </w:tcPr>
          <w:p w:rsidR="00ED1B9D" w:rsidRPr="007653E0" w:rsidRDefault="00ED1B9D" w:rsidP="001575C1">
            <w:pPr>
              <w:jc w:val="right"/>
            </w:pPr>
            <w:r>
              <w:t>%</w:t>
            </w:r>
          </w:p>
        </w:tc>
      </w:tr>
      <w:tr w:rsidR="00ED1B9D" w:rsidRPr="001575C1" w:rsidTr="001575C1">
        <w:tc>
          <w:tcPr>
            <w:tcW w:w="1785" w:type="dxa"/>
          </w:tcPr>
          <w:p w:rsidR="00ED1B9D" w:rsidRPr="007653E0" w:rsidRDefault="00ED1B9D" w:rsidP="001575C1">
            <w:r w:rsidRPr="007653E0">
              <w:t>Ótimo</w:t>
            </w:r>
          </w:p>
        </w:tc>
        <w:tc>
          <w:tcPr>
            <w:tcW w:w="1785" w:type="dxa"/>
          </w:tcPr>
          <w:p w:rsidR="00ED1B9D" w:rsidRPr="007653E0" w:rsidRDefault="00ED1B9D" w:rsidP="001575C1">
            <w:pPr>
              <w:jc w:val="right"/>
            </w:pPr>
            <w:r w:rsidRPr="007653E0">
              <w:t>7</w:t>
            </w:r>
            <w:r>
              <w:t>.</w:t>
            </w:r>
            <w:r w:rsidRPr="007653E0">
              <w:t>103</w:t>
            </w:r>
          </w:p>
        </w:tc>
        <w:tc>
          <w:tcPr>
            <w:tcW w:w="1786" w:type="dxa"/>
          </w:tcPr>
          <w:p w:rsidR="00ED1B9D" w:rsidRPr="007653E0" w:rsidRDefault="00ED1B9D" w:rsidP="001575C1">
            <w:pPr>
              <w:jc w:val="right"/>
            </w:pPr>
            <w:r w:rsidRPr="007653E0">
              <w:t>10,56</w:t>
            </w:r>
          </w:p>
        </w:tc>
        <w:tc>
          <w:tcPr>
            <w:tcW w:w="1786" w:type="dxa"/>
          </w:tcPr>
          <w:p w:rsidR="00ED1B9D" w:rsidRPr="007653E0" w:rsidRDefault="00ED1B9D" w:rsidP="001575C1">
            <w:pPr>
              <w:jc w:val="right"/>
            </w:pPr>
            <w:r w:rsidRPr="007653E0">
              <w:t>7</w:t>
            </w:r>
            <w:r>
              <w:t>.</w:t>
            </w:r>
            <w:r w:rsidRPr="007653E0">
              <w:t>415</w:t>
            </w:r>
          </w:p>
        </w:tc>
        <w:tc>
          <w:tcPr>
            <w:tcW w:w="1786" w:type="dxa"/>
          </w:tcPr>
          <w:p w:rsidR="00ED1B9D" w:rsidRPr="007653E0" w:rsidRDefault="00ED1B9D" w:rsidP="001575C1">
            <w:pPr>
              <w:jc w:val="right"/>
            </w:pPr>
            <w:r w:rsidRPr="007653E0">
              <w:t>37,44</w:t>
            </w:r>
          </w:p>
        </w:tc>
      </w:tr>
      <w:tr w:rsidR="00ED1B9D" w:rsidRPr="001575C1" w:rsidTr="001575C1">
        <w:tc>
          <w:tcPr>
            <w:tcW w:w="1785" w:type="dxa"/>
          </w:tcPr>
          <w:p w:rsidR="00ED1B9D" w:rsidRPr="007653E0" w:rsidRDefault="00ED1B9D" w:rsidP="001575C1">
            <w:r w:rsidRPr="007653E0">
              <w:t>Bom</w:t>
            </w:r>
          </w:p>
        </w:tc>
        <w:tc>
          <w:tcPr>
            <w:tcW w:w="1785" w:type="dxa"/>
          </w:tcPr>
          <w:p w:rsidR="00ED1B9D" w:rsidRPr="007653E0" w:rsidRDefault="00ED1B9D" w:rsidP="001575C1">
            <w:pPr>
              <w:jc w:val="right"/>
            </w:pPr>
            <w:r w:rsidRPr="007653E0">
              <w:t>25</w:t>
            </w:r>
            <w:r>
              <w:t>.</w:t>
            </w:r>
            <w:r w:rsidRPr="007653E0">
              <w:t>229</w:t>
            </w:r>
          </w:p>
        </w:tc>
        <w:tc>
          <w:tcPr>
            <w:tcW w:w="1786" w:type="dxa"/>
          </w:tcPr>
          <w:p w:rsidR="00ED1B9D" w:rsidRPr="007653E0" w:rsidRDefault="00ED1B9D" w:rsidP="001575C1">
            <w:pPr>
              <w:jc w:val="right"/>
            </w:pPr>
            <w:r w:rsidRPr="007653E0">
              <w:t>37,50</w:t>
            </w:r>
          </w:p>
        </w:tc>
        <w:tc>
          <w:tcPr>
            <w:tcW w:w="1786" w:type="dxa"/>
          </w:tcPr>
          <w:p w:rsidR="00ED1B9D" w:rsidRPr="007653E0" w:rsidRDefault="00ED1B9D" w:rsidP="001575C1">
            <w:pPr>
              <w:jc w:val="right"/>
            </w:pPr>
            <w:r w:rsidRPr="007653E0">
              <w:t>8</w:t>
            </w:r>
            <w:r>
              <w:t>.</w:t>
            </w:r>
            <w:r w:rsidRPr="007653E0">
              <w:t>084</w:t>
            </w:r>
          </w:p>
        </w:tc>
        <w:tc>
          <w:tcPr>
            <w:tcW w:w="1786" w:type="dxa"/>
          </w:tcPr>
          <w:p w:rsidR="00ED1B9D" w:rsidRPr="007653E0" w:rsidRDefault="00ED1B9D" w:rsidP="001575C1">
            <w:pPr>
              <w:jc w:val="right"/>
            </w:pPr>
            <w:r w:rsidRPr="007653E0">
              <w:t>40,82</w:t>
            </w:r>
          </w:p>
        </w:tc>
      </w:tr>
      <w:tr w:rsidR="00ED1B9D" w:rsidRPr="001575C1" w:rsidTr="001575C1">
        <w:tc>
          <w:tcPr>
            <w:tcW w:w="1785" w:type="dxa"/>
          </w:tcPr>
          <w:p w:rsidR="00ED1B9D" w:rsidRPr="007653E0" w:rsidRDefault="00ED1B9D" w:rsidP="001575C1">
            <w:r w:rsidRPr="007653E0">
              <w:t>Regular</w:t>
            </w:r>
          </w:p>
        </w:tc>
        <w:tc>
          <w:tcPr>
            <w:tcW w:w="1785" w:type="dxa"/>
          </w:tcPr>
          <w:p w:rsidR="00ED1B9D" w:rsidRPr="007653E0" w:rsidRDefault="00ED1B9D" w:rsidP="001575C1">
            <w:pPr>
              <w:jc w:val="right"/>
            </w:pPr>
            <w:r w:rsidRPr="007653E0">
              <w:t>24</w:t>
            </w:r>
            <w:r>
              <w:t>.</w:t>
            </w:r>
            <w:r w:rsidRPr="007653E0">
              <w:t>786</w:t>
            </w:r>
          </w:p>
        </w:tc>
        <w:tc>
          <w:tcPr>
            <w:tcW w:w="1786" w:type="dxa"/>
          </w:tcPr>
          <w:p w:rsidR="00ED1B9D" w:rsidRPr="007653E0" w:rsidRDefault="00ED1B9D" w:rsidP="001575C1">
            <w:pPr>
              <w:jc w:val="right"/>
            </w:pPr>
            <w:r w:rsidRPr="007653E0">
              <w:t>36,84</w:t>
            </w:r>
          </w:p>
        </w:tc>
        <w:tc>
          <w:tcPr>
            <w:tcW w:w="1786" w:type="dxa"/>
          </w:tcPr>
          <w:p w:rsidR="00ED1B9D" w:rsidRPr="007653E0" w:rsidRDefault="00ED1B9D" w:rsidP="001575C1">
            <w:pPr>
              <w:jc w:val="right"/>
            </w:pPr>
            <w:r w:rsidRPr="007653E0">
              <w:t>3</w:t>
            </w:r>
            <w:r>
              <w:t>.</w:t>
            </w:r>
            <w:r w:rsidRPr="007653E0">
              <w:t>808</w:t>
            </w:r>
          </w:p>
        </w:tc>
        <w:tc>
          <w:tcPr>
            <w:tcW w:w="1786" w:type="dxa"/>
          </w:tcPr>
          <w:p w:rsidR="00ED1B9D" w:rsidRPr="007653E0" w:rsidRDefault="00ED1B9D" w:rsidP="001575C1">
            <w:pPr>
              <w:jc w:val="right"/>
            </w:pPr>
            <w:r w:rsidRPr="007653E0">
              <w:t>19,23</w:t>
            </w:r>
          </w:p>
        </w:tc>
      </w:tr>
      <w:tr w:rsidR="00ED1B9D" w:rsidRPr="001575C1" w:rsidTr="001575C1">
        <w:tc>
          <w:tcPr>
            <w:tcW w:w="1785" w:type="dxa"/>
          </w:tcPr>
          <w:p w:rsidR="00ED1B9D" w:rsidRPr="007653E0" w:rsidRDefault="00ED1B9D" w:rsidP="001575C1">
            <w:r w:rsidRPr="007653E0">
              <w:t>Ruim</w:t>
            </w:r>
          </w:p>
        </w:tc>
        <w:tc>
          <w:tcPr>
            <w:tcW w:w="1785" w:type="dxa"/>
          </w:tcPr>
          <w:p w:rsidR="00ED1B9D" w:rsidRPr="007653E0" w:rsidRDefault="00ED1B9D" w:rsidP="001575C1">
            <w:pPr>
              <w:jc w:val="right"/>
            </w:pPr>
            <w:r w:rsidRPr="007653E0">
              <w:t>7</w:t>
            </w:r>
            <w:r>
              <w:t>.</w:t>
            </w:r>
            <w:r w:rsidRPr="007653E0">
              <w:t>713</w:t>
            </w:r>
          </w:p>
        </w:tc>
        <w:tc>
          <w:tcPr>
            <w:tcW w:w="1786" w:type="dxa"/>
          </w:tcPr>
          <w:p w:rsidR="00ED1B9D" w:rsidRPr="007653E0" w:rsidRDefault="00ED1B9D" w:rsidP="001575C1">
            <w:pPr>
              <w:jc w:val="right"/>
            </w:pPr>
            <w:r w:rsidRPr="007653E0">
              <w:t>11,46</w:t>
            </w:r>
          </w:p>
        </w:tc>
        <w:tc>
          <w:tcPr>
            <w:tcW w:w="1786" w:type="dxa"/>
          </w:tcPr>
          <w:p w:rsidR="00ED1B9D" w:rsidRPr="007653E0" w:rsidRDefault="00ED1B9D" w:rsidP="001575C1">
            <w:pPr>
              <w:jc w:val="right"/>
            </w:pPr>
            <w:r w:rsidRPr="007653E0">
              <w:t>497</w:t>
            </w:r>
          </w:p>
        </w:tc>
        <w:tc>
          <w:tcPr>
            <w:tcW w:w="1786" w:type="dxa"/>
          </w:tcPr>
          <w:p w:rsidR="00ED1B9D" w:rsidRPr="007653E0" w:rsidRDefault="00ED1B9D" w:rsidP="001575C1">
            <w:pPr>
              <w:jc w:val="right"/>
            </w:pPr>
            <w:r w:rsidRPr="007653E0">
              <w:t>2,51</w:t>
            </w:r>
          </w:p>
        </w:tc>
      </w:tr>
      <w:tr w:rsidR="00ED1B9D" w:rsidRPr="001575C1" w:rsidTr="001575C1">
        <w:tc>
          <w:tcPr>
            <w:tcW w:w="1785" w:type="dxa"/>
          </w:tcPr>
          <w:p w:rsidR="00ED1B9D" w:rsidRPr="007653E0" w:rsidRDefault="00ED1B9D" w:rsidP="001575C1">
            <w:r w:rsidRPr="007653E0">
              <w:t>Péssimo</w:t>
            </w:r>
          </w:p>
        </w:tc>
        <w:tc>
          <w:tcPr>
            <w:tcW w:w="1785" w:type="dxa"/>
          </w:tcPr>
          <w:p w:rsidR="00ED1B9D" w:rsidRPr="007653E0" w:rsidRDefault="00ED1B9D" w:rsidP="001575C1">
            <w:pPr>
              <w:jc w:val="right"/>
            </w:pPr>
            <w:r w:rsidRPr="007653E0">
              <w:t>2</w:t>
            </w:r>
            <w:r>
              <w:t>.</w:t>
            </w:r>
            <w:r w:rsidRPr="007653E0">
              <w:t>448</w:t>
            </w:r>
          </w:p>
        </w:tc>
        <w:tc>
          <w:tcPr>
            <w:tcW w:w="1786" w:type="dxa"/>
          </w:tcPr>
          <w:p w:rsidR="00ED1B9D" w:rsidRPr="007653E0" w:rsidRDefault="00ED1B9D" w:rsidP="001575C1">
            <w:pPr>
              <w:jc w:val="right"/>
            </w:pPr>
            <w:r w:rsidRPr="007653E0">
              <w:t>3,64</w:t>
            </w:r>
          </w:p>
        </w:tc>
        <w:tc>
          <w:tcPr>
            <w:tcW w:w="1786" w:type="dxa"/>
          </w:tcPr>
          <w:p w:rsidR="00ED1B9D" w:rsidRPr="007653E0" w:rsidRDefault="00ED1B9D" w:rsidP="001575C1">
            <w:pPr>
              <w:jc w:val="right"/>
            </w:pPr>
            <w:r w:rsidRPr="007653E0">
              <w:t>0</w:t>
            </w:r>
          </w:p>
        </w:tc>
        <w:tc>
          <w:tcPr>
            <w:tcW w:w="1786" w:type="dxa"/>
          </w:tcPr>
          <w:p w:rsidR="00ED1B9D" w:rsidRPr="007653E0" w:rsidRDefault="00ED1B9D" w:rsidP="001575C1">
            <w:pPr>
              <w:jc w:val="right"/>
            </w:pPr>
            <w:r w:rsidRPr="007653E0">
              <w:t>0,00</w:t>
            </w:r>
          </w:p>
        </w:tc>
      </w:tr>
      <w:tr w:rsidR="00ED1B9D" w:rsidRPr="001575C1" w:rsidTr="001575C1">
        <w:tc>
          <w:tcPr>
            <w:tcW w:w="1785" w:type="dxa"/>
          </w:tcPr>
          <w:p w:rsidR="00ED1B9D" w:rsidRPr="007653E0" w:rsidRDefault="00ED1B9D" w:rsidP="001575C1">
            <w:r w:rsidRPr="007653E0">
              <w:t>Total</w:t>
            </w:r>
          </w:p>
        </w:tc>
        <w:tc>
          <w:tcPr>
            <w:tcW w:w="1785" w:type="dxa"/>
          </w:tcPr>
          <w:p w:rsidR="00ED1B9D" w:rsidRPr="007653E0" w:rsidRDefault="00ED1B9D" w:rsidP="001575C1">
            <w:pPr>
              <w:jc w:val="right"/>
            </w:pPr>
            <w:r w:rsidRPr="007653E0">
              <w:t>67</w:t>
            </w:r>
            <w:r>
              <w:t>.</w:t>
            </w:r>
            <w:r w:rsidRPr="007653E0">
              <w:t>279</w:t>
            </w:r>
          </w:p>
        </w:tc>
        <w:tc>
          <w:tcPr>
            <w:tcW w:w="1786" w:type="dxa"/>
          </w:tcPr>
          <w:p w:rsidR="00ED1B9D" w:rsidRPr="007653E0" w:rsidRDefault="00ED1B9D" w:rsidP="001575C1">
            <w:pPr>
              <w:jc w:val="right"/>
            </w:pPr>
            <w:r w:rsidRPr="007653E0">
              <w:t>100,00</w:t>
            </w:r>
          </w:p>
        </w:tc>
        <w:tc>
          <w:tcPr>
            <w:tcW w:w="1786" w:type="dxa"/>
          </w:tcPr>
          <w:p w:rsidR="00ED1B9D" w:rsidRPr="007653E0" w:rsidRDefault="00ED1B9D" w:rsidP="001575C1">
            <w:pPr>
              <w:jc w:val="right"/>
            </w:pPr>
            <w:r w:rsidRPr="007653E0">
              <w:t>19</w:t>
            </w:r>
            <w:r>
              <w:t>.</w:t>
            </w:r>
            <w:r w:rsidRPr="007653E0">
              <w:t>804</w:t>
            </w:r>
          </w:p>
        </w:tc>
        <w:tc>
          <w:tcPr>
            <w:tcW w:w="1786" w:type="dxa"/>
          </w:tcPr>
          <w:p w:rsidR="00ED1B9D" w:rsidRDefault="00ED1B9D" w:rsidP="001575C1">
            <w:pPr>
              <w:jc w:val="right"/>
            </w:pPr>
            <w:r w:rsidRPr="007653E0">
              <w:t>100,00</w:t>
            </w:r>
          </w:p>
        </w:tc>
      </w:tr>
    </w:tbl>
    <w:p w:rsidR="00ED1B9D" w:rsidRDefault="00ED1B9D" w:rsidP="00561703">
      <w:pPr>
        <w:spacing w:after="360"/>
        <w:ind w:firstLine="1418"/>
        <w:jc w:val="both"/>
        <w:rPr>
          <w:sz w:val="26"/>
          <w:szCs w:val="26"/>
        </w:rPr>
      </w:pPr>
    </w:p>
    <w:p w:rsidR="00D816B7" w:rsidRDefault="003B7C47" w:rsidP="003B7C47">
      <w:pPr>
        <w:ind w:firstLine="1418"/>
        <w:jc w:val="both"/>
        <w:rPr>
          <w:sz w:val="26"/>
          <w:szCs w:val="26"/>
        </w:rPr>
      </w:pPr>
      <w:r>
        <w:rPr>
          <w:sz w:val="26"/>
          <w:szCs w:val="26"/>
        </w:rPr>
        <w:t>A baixa densidade e qualidade da infraestrutura rodoviária brasileira deve-se a lacuna de investimentos públicos e restrições ao investimento privado no setor, que só pode ser explorado mediante licitações, que são promovidas a um ritmo aquém do necessário.</w:t>
      </w:r>
      <w:r w:rsidR="007D1C53">
        <w:rPr>
          <w:sz w:val="26"/>
          <w:szCs w:val="26"/>
        </w:rPr>
        <w:t xml:space="preserve"> Embora os investimentos públicos sejam maiores que os privados, a malha sob administração pública é muito superior </w:t>
      </w:r>
      <w:r w:rsidR="00132E22">
        <w:rPr>
          <w:sz w:val="26"/>
          <w:szCs w:val="26"/>
        </w:rPr>
        <w:t>à</w:t>
      </w:r>
      <w:r w:rsidR="007D1C53">
        <w:rPr>
          <w:sz w:val="26"/>
          <w:szCs w:val="26"/>
        </w:rPr>
        <w:t xml:space="preserve"> privada, de maneira que os investimentos por km são</w:t>
      </w:r>
      <w:r w:rsidR="00D11544">
        <w:rPr>
          <w:sz w:val="26"/>
          <w:szCs w:val="26"/>
        </w:rPr>
        <w:t xml:space="preserve"> mais elevados</w:t>
      </w:r>
      <w:r w:rsidR="007D1C53">
        <w:rPr>
          <w:sz w:val="26"/>
          <w:szCs w:val="26"/>
        </w:rPr>
        <w:t xml:space="preserve"> nas rodovias sob administração privada que na pública.</w:t>
      </w:r>
    </w:p>
    <w:p w:rsidR="00D816B7" w:rsidRDefault="00D816B7" w:rsidP="003B7C47">
      <w:pPr>
        <w:ind w:firstLine="1418"/>
        <w:jc w:val="both"/>
        <w:rPr>
          <w:sz w:val="26"/>
          <w:szCs w:val="26"/>
        </w:rPr>
      </w:pPr>
    </w:p>
    <w:p w:rsidR="007D1C53" w:rsidRDefault="00274E08" w:rsidP="007D1C53">
      <w:pPr>
        <w:keepNext/>
        <w:jc w:val="both"/>
      </w:pPr>
      <w:r>
        <w:rPr>
          <w:noProof/>
        </w:rPr>
        <w:drawing>
          <wp:inline distT="0" distB="0" distL="0" distR="0" wp14:anchorId="68260C9C">
            <wp:extent cx="5553710" cy="3328670"/>
            <wp:effectExtent l="0" t="0" r="8890" b="508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710" cy="3328670"/>
                    </a:xfrm>
                    <a:prstGeom prst="rect">
                      <a:avLst/>
                    </a:prstGeom>
                    <a:noFill/>
                  </pic:spPr>
                </pic:pic>
              </a:graphicData>
            </a:graphic>
          </wp:inline>
        </w:drawing>
      </w:r>
    </w:p>
    <w:p w:rsidR="00D816B7" w:rsidRPr="001B1266" w:rsidRDefault="007D1C53" w:rsidP="007D1C53">
      <w:pPr>
        <w:pStyle w:val="Legenda"/>
        <w:jc w:val="both"/>
      </w:pPr>
      <w:r w:rsidRPr="001B1266">
        <w:t xml:space="preserve">Figura </w:t>
      </w:r>
      <w:fldSimple w:instr=" SEQ Figura \* ARABIC ">
        <w:r w:rsidR="00780B83">
          <w:rPr>
            <w:noProof/>
          </w:rPr>
          <w:t>6</w:t>
        </w:r>
      </w:fldSimple>
      <w:r w:rsidRPr="001B1266">
        <w:t xml:space="preserve"> </w:t>
      </w:r>
      <w:r w:rsidR="00D11544" w:rsidRPr="001B1266">
        <w:t xml:space="preserve">- </w:t>
      </w:r>
      <w:r w:rsidRPr="001B1266">
        <w:t xml:space="preserve">Investimento Público x Privado </w:t>
      </w:r>
      <w:r w:rsidR="00CE528D" w:rsidRPr="001B1266">
        <w:t xml:space="preserve">em rodovias </w:t>
      </w:r>
      <w:r w:rsidRPr="001B1266">
        <w:t>entre 2003 e 2014</w:t>
      </w:r>
    </w:p>
    <w:p w:rsidR="007D1C53" w:rsidRPr="001B1266" w:rsidRDefault="00D816B7" w:rsidP="00D816B7">
      <w:pPr>
        <w:jc w:val="both"/>
        <w:rPr>
          <w:sz w:val="20"/>
          <w:szCs w:val="20"/>
        </w:rPr>
      </w:pPr>
      <w:r w:rsidRPr="001B1266">
        <w:rPr>
          <w:sz w:val="20"/>
          <w:szCs w:val="20"/>
        </w:rPr>
        <w:t xml:space="preserve">Fontes: Ipea, CNT e ABCR. </w:t>
      </w:r>
      <w:r w:rsidR="007D1C53" w:rsidRPr="001B1266">
        <w:rPr>
          <w:sz w:val="20"/>
          <w:szCs w:val="20"/>
        </w:rPr>
        <w:t>Valores em R$ bilhões.</w:t>
      </w:r>
    </w:p>
    <w:p w:rsidR="00E15225" w:rsidRDefault="00E15225" w:rsidP="003B7C47">
      <w:pPr>
        <w:ind w:firstLine="1418"/>
        <w:jc w:val="both"/>
        <w:rPr>
          <w:sz w:val="26"/>
          <w:szCs w:val="26"/>
        </w:rPr>
      </w:pPr>
    </w:p>
    <w:p w:rsidR="00132E22" w:rsidRDefault="00274E08" w:rsidP="00132E22">
      <w:pPr>
        <w:keepNext/>
        <w:jc w:val="both"/>
      </w:pPr>
      <w:r>
        <w:rPr>
          <w:noProof/>
        </w:rPr>
        <w:drawing>
          <wp:inline distT="0" distB="0" distL="0" distR="0" wp14:anchorId="46574970">
            <wp:extent cx="5608955" cy="3042285"/>
            <wp:effectExtent l="0" t="0" r="0" b="571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955" cy="3042285"/>
                    </a:xfrm>
                    <a:prstGeom prst="rect">
                      <a:avLst/>
                    </a:prstGeom>
                    <a:noFill/>
                  </pic:spPr>
                </pic:pic>
              </a:graphicData>
            </a:graphic>
          </wp:inline>
        </w:drawing>
      </w:r>
    </w:p>
    <w:p w:rsidR="00132E22" w:rsidRPr="000A4706" w:rsidRDefault="00132E22" w:rsidP="00132E22">
      <w:pPr>
        <w:pStyle w:val="Legenda"/>
        <w:jc w:val="both"/>
      </w:pPr>
      <w:r w:rsidRPr="000A4706">
        <w:t xml:space="preserve">Figura </w:t>
      </w:r>
      <w:fldSimple w:instr=" SEQ Figura \* ARABIC ">
        <w:r w:rsidR="00780B83">
          <w:rPr>
            <w:noProof/>
          </w:rPr>
          <w:t>7</w:t>
        </w:r>
      </w:fldSimple>
      <w:r w:rsidRPr="000A4706">
        <w:t xml:space="preserve"> </w:t>
      </w:r>
      <w:r w:rsidR="00D11544" w:rsidRPr="000A4706">
        <w:t xml:space="preserve">- </w:t>
      </w:r>
      <w:r w:rsidRPr="000A4706">
        <w:t xml:space="preserve">Investimentos </w:t>
      </w:r>
      <w:r w:rsidR="00CE528D" w:rsidRPr="000A4706">
        <w:t xml:space="preserve">públicos e privados em rodovias </w:t>
      </w:r>
      <w:r w:rsidRPr="000A4706">
        <w:t>por quilômetros entre 2003 e 2014</w:t>
      </w:r>
    </w:p>
    <w:p w:rsidR="00132E22" w:rsidRPr="000A4706" w:rsidRDefault="00132E22" w:rsidP="00132E22">
      <w:pPr>
        <w:rPr>
          <w:sz w:val="20"/>
          <w:szCs w:val="20"/>
        </w:rPr>
      </w:pPr>
      <w:r w:rsidRPr="000A4706">
        <w:rPr>
          <w:sz w:val="20"/>
          <w:szCs w:val="20"/>
        </w:rPr>
        <w:t>Fontes: Ipea, CNT e ABCR..</w:t>
      </w:r>
    </w:p>
    <w:p w:rsidR="00132E22" w:rsidRPr="000A4706" w:rsidRDefault="00132E22" w:rsidP="00132E22">
      <w:pPr>
        <w:rPr>
          <w:sz w:val="20"/>
          <w:szCs w:val="20"/>
        </w:rPr>
      </w:pPr>
      <w:r w:rsidRPr="000A4706">
        <w:rPr>
          <w:sz w:val="20"/>
          <w:szCs w:val="20"/>
        </w:rPr>
        <w:t>Valores em R$ mil/km</w:t>
      </w:r>
    </w:p>
    <w:p w:rsidR="00132E22" w:rsidRDefault="00132E22" w:rsidP="003B7C47">
      <w:pPr>
        <w:ind w:firstLine="1418"/>
        <w:jc w:val="both"/>
        <w:rPr>
          <w:sz w:val="26"/>
          <w:szCs w:val="26"/>
        </w:rPr>
      </w:pPr>
    </w:p>
    <w:p w:rsidR="00CE528D" w:rsidRDefault="00132E22" w:rsidP="003B7C47">
      <w:pPr>
        <w:ind w:firstLine="1418"/>
        <w:jc w:val="both"/>
        <w:rPr>
          <w:sz w:val="26"/>
          <w:szCs w:val="26"/>
        </w:rPr>
      </w:pPr>
      <w:r>
        <w:rPr>
          <w:sz w:val="26"/>
          <w:szCs w:val="26"/>
        </w:rPr>
        <w:t xml:space="preserve">As figuras </w:t>
      </w:r>
      <w:r w:rsidR="00DF4EF6">
        <w:rPr>
          <w:sz w:val="26"/>
          <w:szCs w:val="26"/>
        </w:rPr>
        <w:t>6</w:t>
      </w:r>
      <w:r w:rsidR="000A4706">
        <w:rPr>
          <w:sz w:val="26"/>
          <w:szCs w:val="26"/>
        </w:rPr>
        <w:t xml:space="preserve"> </w:t>
      </w:r>
      <w:r>
        <w:rPr>
          <w:sz w:val="26"/>
          <w:szCs w:val="26"/>
        </w:rPr>
        <w:t xml:space="preserve">e </w:t>
      </w:r>
      <w:r w:rsidR="00DF4EF6">
        <w:rPr>
          <w:sz w:val="26"/>
          <w:szCs w:val="26"/>
        </w:rPr>
        <w:t>7</w:t>
      </w:r>
      <w:r w:rsidR="000A4706">
        <w:rPr>
          <w:sz w:val="26"/>
          <w:szCs w:val="26"/>
        </w:rPr>
        <w:t xml:space="preserve"> </w:t>
      </w:r>
      <w:r>
        <w:rPr>
          <w:sz w:val="26"/>
          <w:szCs w:val="26"/>
        </w:rPr>
        <w:t>apresentam os montantes investidos pelo setor público federal e pelas administradoras privadas que exploram rodovias, tantos as de origem estadual, municipal e federal.</w:t>
      </w:r>
      <w:r w:rsidR="00B301BE">
        <w:rPr>
          <w:sz w:val="26"/>
          <w:szCs w:val="26"/>
        </w:rPr>
        <w:t xml:space="preserve"> Os dados apontam que a partir de 2013 os investimentos privados em rodovias passaram a novo patamar com a execução do Plano de Investimento em Logística</w:t>
      </w:r>
      <w:r w:rsidR="00924984">
        <w:rPr>
          <w:sz w:val="26"/>
          <w:szCs w:val="26"/>
        </w:rPr>
        <w:t xml:space="preserve"> (PIL)</w:t>
      </w:r>
      <w:r w:rsidR="00B301BE">
        <w:rPr>
          <w:sz w:val="26"/>
          <w:szCs w:val="26"/>
        </w:rPr>
        <w:t>, que previram não apenas a manutenção da via, mas também a duplicação do lote concedido em até cinco anos do contrato de concessão. Houve um incremento de cerca de 50% das vias sob concessão entre 2012 e 2014, o que resultou em investimento de R$ 442,7 mil/km no setor privado, enquanto o investimento federal em manutenção e atualização da malha é cerca de um terço, R$ 165,04</w:t>
      </w:r>
      <w:r w:rsidR="00CE528D">
        <w:rPr>
          <w:sz w:val="26"/>
          <w:szCs w:val="26"/>
        </w:rPr>
        <w:t xml:space="preserve"> mil</w:t>
      </w:r>
      <w:r w:rsidR="00B301BE">
        <w:rPr>
          <w:sz w:val="26"/>
          <w:szCs w:val="26"/>
        </w:rPr>
        <w:t>/km</w:t>
      </w:r>
      <w:r w:rsidR="00CE528D">
        <w:rPr>
          <w:sz w:val="26"/>
          <w:szCs w:val="26"/>
        </w:rPr>
        <w:t>.</w:t>
      </w:r>
    </w:p>
    <w:p w:rsidR="00924984" w:rsidRDefault="00924984" w:rsidP="00924984">
      <w:pPr>
        <w:ind w:firstLine="1418"/>
        <w:jc w:val="both"/>
        <w:rPr>
          <w:sz w:val="26"/>
          <w:szCs w:val="26"/>
        </w:rPr>
      </w:pPr>
      <w:r>
        <w:rPr>
          <w:sz w:val="26"/>
          <w:szCs w:val="26"/>
        </w:rPr>
        <w:t xml:space="preserve">Faz-se oportuno registrar, entretanto, que ao contrário do que se fazia no século XIX, quando o instituto da concessão era utilizado para implantação de novas infraestruturas, atualmente as concessões são utilizadas apenas para manutenção e atualização de infraestruturas pré-existentes. Há, portanto, um espaço não explorado para adoção da concessão para implantação de rodovias importantes do Sistema Nacional de Viação que até o presente não foram totalmente pavimentadas, como a BR-070, por exemplo, que liga Cuiabá à Brasília, passando por importante zona de produção agrícola e ainda cruzando à EF-151, </w:t>
      </w:r>
      <w:r w:rsidR="00194C40">
        <w:rPr>
          <w:sz w:val="26"/>
          <w:szCs w:val="26"/>
        </w:rPr>
        <w:t>F</w:t>
      </w:r>
      <w:r>
        <w:rPr>
          <w:sz w:val="26"/>
          <w:szCs w:val="26"/>
        </w:rPr>
        <w:t>errovia Norte-Sul.</w:t>
      </w:r>
    </w:p>
    <w:p w:rsidR="00924984" w:rsidRDefault="00924984" w:rsidP="003B7C47">
      <w:pPr>
        <w:ind w:firstLine="1418"/>
        <w:jc w:val="both"/>
        <w:rPr>
          <w:sz w:val="26"/>
          <w:szCs w:val="26"/>
        </w:rPr>
      </w:pPr>
    </w:p>
    <w:p w:rsidR="009A6C80" w:rsidRPr="000476A7" w:rsidRDefault="008E1546" w:rsidP="009A6C80">
      <w:pPr>
        <w:pStyle w:val="Ttulo0"/>
        <w:rPr>
          <w:sz w:val="26"/>
          <w:szCs w:val="26"/>
        </w:rPr>
      </w:pPr>
      <w:bookmarkStart w:id="12" w:name="_Toc442974381"/>
      <w:r>
        <w:rPr>
          <w:sz w:val="26"/>
          <w:szCs w:val="26"/>
        </w:rPr>
        <w:t>3</w:t>
      </w:r>
      <w:r w:rsidR="00E65B64" w:rsidRPr="000476A7">
        <w:rPr>
          <w:sz w:val="26"/>
          <w:szCs w:val="26"/>
        </w:rPr>
        <w:t>.2</w:t>
      </w:r>
      <w:r w:rsidR="00333553" w:rsidRPr="000476A7">
        <w:rPr>
          <w:sz w:val="26"/>
          <w:szCs w:val="26"/>
        </w:rPr>
        <w:t>.2 Qualidade Da Infraestrutura Ferroviária</w:t>
      </w:r>
      <w:bookmarkEnd w:id="12"/>
      <w:r w:rsidR="00333553" w:rsidRPr="000476A7">
        <w:rPr>
          <w:sz w:val="26"/>
          <w:szCs w:val="26"/>
        </w:rPr>
        <w:t xml:space="preserve"> </w:t>
      </w:r>
    </w:p>
    <w:p w:rsidR="00B073DB" w:rsidRDefault="00B073DB" w:rsidP="009A6C80">
      <w:pPr>
        <w:spacing w:after="360"/>
        <w:ind w:firstLine="1418"/>
        <w:jc w:val="both"/>
        <w:rPr>
          <w:sz w:val="26"/>
          <w:szCs w:val="26"/>
        </w:rPr>
      </w:pPr>
      <w:r>
        <w:rPr>
          <w:sz w:val="26"/>
          <w:szCs w:val="26"/>
        </w:rPr>
        <w:t>A malha ferroviária brasileira passou por três ciclos de desenvolvimento, o primeiro de criação baseado em concessões privadas, iniciado no regime imperial em 1865 e durou até 1922 quando alcançou aproximadamente 29 mil km de extensão. O segundo ciclo foi de estagnação, marcado por um processo de estatizações e durou até 1995, quando houve a desestatização da malha</w:t>
      </w:r>
      <w:r w:rsidR="00DF2A83">
        <w:rPr>
          <w:sz w:val="26"/>
          <w:szCs w:val="26"/>
        </w:rPr>
        <w:t xml:space="preserve"> federal e paulista</w:t>
      </w:r>
      <w:r>
        <w:rPr>
          <w:sz w:val="26"/>
          <w:szCs w:val="26"/>
        </w:rPr>
        <w:t xml:space="preserve">. O terceiro ciclo é o de atualização, iniciado pela reconcessão à iniciativa privada da infraestrutura ferroviária e construção de novos trechos pelo Estado, notadamente a Ferrovia Norte-Sul, ainda não </w:t>
      </w:r>
      <w:r w:rsidR="00DF2A83">
        <w:rPr>
          <w:sz w:val="26"/>
          <w:szCs w:val="26"/>
        </w:rPr>
        <w:t xml:space="preserve">integralmente </w:t>
      </w:r>
      <w:r>
        <w:rPr>
          <w:sz w:val="26"/>
          <w:szCs w:val="26"/>
        </w:rPr>
        <w:t>operacional.</w:t>
      </w:r>
    </w:p>
    <w:p w:rsidR="00B073DB" w:rsidRDefault="00B073DB" w:rsidP="009A6C80">
      <w:pPr>
        <w:spacing w:after="360"/>
        <w:ind w:firstLine="1418"/>
        <w:jc w:val="both"/>
        <w:rPr>
          <w:sz w:val="26"/>
          <w:szCs w:val="26"/>
        </w:rPr>
      </w:pPr>
      <w:r>
        <w:rPr>
          <w:sz w:val="26"/>
          <w:szCs w:val="26"/>
        </w:rPr>
        <w:t xml:space="preserve">Destarte, a </w:t>
      </w:r>
      <w:r w:rsidR="00E33BE0">
        <w:rPr>
          <w:sz w:val="26"/>
          <w:szCs w:val="26"/>
        </w:rPr>
        <w:t>exceção</w:t>
      </w:r>
      <w:r>
        <w:rPr>
          <w:sz w:val="26"/>
          <w:szCs w:val="26"/>
        </w:rPr>
        <w:t xml:space="preserve"> de </w:t>
      </w:r>
      <w:r w:rsidR="002B54AB">
        <w:rPr>
          <w:sz w:val="26"/>
          <w:szCs w:val="26"/>
        </w:rPr>
        <w:t>quatro</w:t>
      </w:r>
      <w:r>
        <w:rPr>
          <w:sz w:val="26"/>
          <w:szCs w:val="26"/>
        </w:rPr>
        <w:t xml:space="preserve"> trechos outorgados à VALEC, a infraestrut</w:t>
      </w:r>
      <w:r w:rsidR="001B2CF1">
        <w:rPr>
          <w:sz w:val="26"/>
          <w:szCs w:val="26"/>
        </w:rPr>
        <w:t>ur</w:t>
      </w:r>
      <w:r>
        <w:rPr>
          <w:sz w:val="26"/>
          <w:szCs w:val="26"/>
        </w:rPr>
        <w:t>a ferroviária nacional está sob administração privada no Brasil, tendo sofrido um hiato de desenvolvimento entre 1922 até 1995, de maneira que a extensão da malha é muito inferior às necessidades da economia nacional.</w:t>
      </w:r>
      <w:r w:rsidR="00E33BE0">
        <w:rPr>
          <w:sz w:val="26"/>
          <w:szCs w:val="26"/>
        </w:rPr>
        <w:t xml:space="preserve"> A figura </w:t>
      </w:r>
      <w:r w:rsidR="000A4706">
        <w:rPr>
          <w:sz w:val="26"/>
          <w:szCs w:val="26"/>
        </w:rPr>
        <w:t xml:space="preserve">9 </w:t>
      </w:r>
      <w:r w:rsidR="00E33BE0">
        <w:rPr>
          <w:sz w:val="26"/>
          <w:szCs w:val="26"/>
        </w:rPr>
        <w:t>ilustra que a maior parte da malha está concentrada nas regiões sul e sudeste do Brasil.</w:t>
      </w:r>
    </w:p>
    <w:p w:rsidR="00DF2A83" w:rsidRDefault="00DF2A83" w:rsidP="00DF2A83">
      <w:pPr>
        <w:spacing w:after="360"/>
        <w:ind w:firstLine="1418"/>
        <w:jc w:val="both"/>
        <w:rPr>
          <w:sz w:val="26"/>
          <w:szCs w:val="26"/>
        </w:rPr>
      </w:pPr>
      <w:r>
        <w:rPr>
          <w:sz w:val="26"/>
          <w:szCs w:val="26"/>
        </w:rPr>
        <w:t>A</w:t>
      </w:r>
      <w:r w:rsidRPr="00B073DB">
        <w:rPr>
          <w:sz w:val="26"/>
          <w:szCs w:val="26"/>
        </w:rPr>
        <w:t xml:space="preserve"> malha ferroviária nacional contava, em 2013, com uma extensão total de 28.190 km, sendo 22.219 km – 78,8% – em bitola estreita</w:t>
      </w:r>
      <w:r>
        <w:rPr>
          <w:sz w:val="26"/>
          <w:szCs w:val="26"/>
        </w:rPr>
        <w:t xml:space="preserve"> </w:t>
      </w:r>
      <w:r w:rsidRPr="00B073DB">
        <w:rPr>
          <w:sz w:val="26"/>
          <w:szCs w:val="26"/>
        </w:rPr>
        <w:t>(1,00 m); 5.461 km – 19,4% – em bitola larga (1,60 m); e 510 km – 1,8% – em bitola mista. Essa malha atravessa</w:t>
      </w:r>
      <w:r>
        <w:rPr>
          <w:sz w:val="26"/>
          <w:szCs w:val="26"/>
        </w:rPr>
        <w:t xml:space="preserve"> </w:t>
      </w:r>
      <w:r w:rsidRPr="00B073DB">
        <w:rPr>
          <w:sz w:val="26"/>
          <w:szCs w:val="26"/>
        </w:rPr>
        <w:t>22 Unidades da Federação, em todas as Regiões. O total de carga transportada em 2012 por todas as</w:t>
      </w:r>
      <w:r>
        <w:rPr>
          <w:sz w:val="26"/>
          <w:szCs w:val="26"/>
        </w:rPr>
        <w:t xml:space="preserve"> </w:t>
      </w:r>
      <w:r w:rsidRPr="00B073DB">
        <w:rPr>
          <w:sz w:val="26"/>
          <w:szCs w:val="26"/>
        </w:rPr>
        <w:t>concessionárias correspondeu a 459.947 toneladas úteis (TU) – o que representa um crescimento de 18,2%</w:t>
      </w:r>
      <w:r>
        <w:rPr>
          <w:sz w:val="26"/>
          <w:szCs w:val="26"/>
        </w:rPr>
        <w:t xml:space="preserve"> </w:t>
      </w:r>
      <w:r w:rsidRPr="00B073DB">
        <w:rPr>
          <w:sz w:val="26"/>
          <w:szCs w:val="26"/>
        </w:rPr>
        <w:t xml:space="preserve">em relação a 2006. </w:t>
      </w:r>
      <w:r>
        <w:rPr>
          <w:sz w:val="26"/>
          <w:szCs w:val="26"/>
        </w:rPr>
        <w:t>Segundo a CNT, a</w:t>
      </w:r>
      <w:r w:rsidRPr="00B073DB">
        <w:rPr>
          <w:sz w:val="26"/>
          <w:szCs w:val="26"/>
        </w:rPr>
        <w:t xml:space="preserve"> produção de transporte em toneladas-quilômetro útil (TKU), por sua vez, foi de 301.653</w:t>
      </w:r>
      <w:r>
        <w:rPr>
          <w:sz w:val="26"/>
          <w:szCs w:val="26"/>
        </w:rPr>
        <w:t xml:space="preserve"> </w:t>
      </w:r>
      <w:r w:rsidRPr="00B073DB">
        <w:rPr>
          <w:sz w:val="26"/>
          <w:szCs w:val="26"/>
        </w:rPr>
        <w:t>– um crescimento de 26,5% em relação a 2006. No mesmo período, o número de acidentes por milhão de</w:t>
      </w:r>
      <w:r>
        <w:rPr>
          <w:sz w:val="26"/>
          <w:szCs w:val="26"/>
        </w:rPr>
        <w:t xml:space="preserve"> </w:t>
      </w:r>
      <w:r w:rsidRPr="00B073DB">
        <w:rPr>
          <w:sz w:val="26"/>
          <w:szCs w:val="26"/>
        </w:rPr>
        <w:t>trem-quilômetro teve uma redução de 43,4%. A quantidade de locomotivas em circulação teve um aumento</w:t>
      </w:r>
      <w:r>
        <w:rPr>
          <w:sz w:val="26"/>
          <w:szCs w:val="26"/>
        </w:rPr>
        <w:t xml:space="preserve"> </w:t>
      </w:r>
      <w:r w:rsidRPr="00B073DB">
        <w:rPr>
          <w:sz w:val="26"/>
          <w:szCs w:val="26"/>
        </w:rPr>
        <w:t>de 44,2%, enquanto o de vagões aumentou 44,9%</w:t>
      </w:r>
      <w:r>
        <w:rPr>
          <w:sz w:val="26"/>
          <w:szCs w:val="26"/>
        </w:rPr>
        <w:t>.</w:t>
      </w:r>
      <w:r>
        <w:rPr>
          <w:rStyle w:val="Refdenotaderodap"/>
          <w:sz w:val="26"/>
          <w:szCs w:val="26"/>
        </w:rPr>
        <w:footnoteReference w:id="7"/>
      </w:r>
    </w:p>
    <w:p w:rsidR="00DF2A83" w:rsidRDefault="00DF2A83" w:rsidP="009A6C80">
      <w:pPr>
        <w:spacing w:after="360"/>
        <w:ind w:firstLine="1418"/>
        <w:jc w:val="both"/>
        <w:rPr>
          <w:sz w:val="26"/>
          <w:szCs w:val="26"/>
        </w:rPr>
      </w:pPr>
    </w:p>
    <w:p w:rsidR="00E33BE0" w:rsidRDefault="004C3BEA" w:rsidP="00E33BE0">
      <w:pPr>
        <w:keepNext/>
        <w:spacing w:after="360"/>
        <w:jc w:val="both"/>
      </w:pPr>
      <w:r>
        <w:rPr>
          <w:noProof/>
          <w:sz w:val="26"/>
          <w:szCs w:val="26"/>
        </w:rPr>
        <w:drawing>
          <wp:inline distT="0" distB="0" distL="0" distR="0">
            <wp:extent cx="5534025" cy="4762500"/>
            <wp:effectExtent l="0" t="0" r="9525" b="0"/>
            <wp:docPr id="7" name="Imagem 7" descr="mapa_ferrov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a_ferroviari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4025" cy="4762500"/>
                    </a:xfrm>
                    <a:prstGeom prst="rect">
                      <a:avLst/>
                    </a:prstGeom>
                    <a:noFill/>
                    <a:ln>
                      <a:noFill/>
                    </a:ln>
                  </pic:spPr>
                </pic:pic>
              </a:graphicData>
            </a:graphic>
          </wp:inline>
        </w:drawing>
      </w:r>
    </w:p>
    <w:p w:rsidR="00E33BE0" w:rsidRDefault="00E33BE0" w:rsidP="00E33BE0">
      <w:pPr>
        <w:pStyle w:val="Legenda"/>
        <w:jc w:val="both"/>
        <w:rPr>
          <w:b w:val="0"/>
        </w:rPr>
      </w:pPr>
      <w:r>
        <w:t xml:space="preserve">Figura </w:t>
      </w:r>
      <w:fldSimple w:instr=" SEQ Figura \* ARABIC ">
        <w:r w:rsidR="00780B83">
          <w:rPr>
            <w:noProof/>
          </w:rPr>
          <w:t>8</w:t>
        </w:r>
      </w:fldSimple>
      <w:r>
        <w:t xml:space="preserve"> – Mapa Ferroviário Brasileiro. </w:t>
      </w:r>
      <w:r w:rsidRPr="00E33BE0">
        <w:rPr>
          <w:b w:val="0"/>
        </w:rPr>
        <w:t>Fonte ANTT.</w:t>
      </w:r>
    </w:p>
    <w:p w:rsidR="00E33BE0" w:rsidRDefault="00E33BE0" w:rsidP="00E33BE0"/>
    <w:p w:rsidR="002B54AB" w:rsidRDefault="002B54AB" w:rsidP="002B54AB">
      <w:pPr>
        <w:spacing w:after="360"/>
        <w:ind w:firstLine="1418"/>
        <w:jc w:val="both"/>
        <w:rPr>
          <w:sz w:val="26"/>
          <w:szCs w:val="26"/>
        </w:rPr>
      </w:pPr>
      <w:r>
        <w:rPr>
          <w:sz w:val="26"/>
          <w:szCs w:val="26"/>
        </w:rPr>
        <w:t>Apesar do sucesso de revitalização da infraestrutura ferroviária decorrente do processo de desestatização havido em 1995, baseado em contratos de arrendamento dos ativos e concessão da exploração dos serviços, a desestatização não resultou em ampliação da rede, pelo contrário, diversos segmentos foram devolvidos ao Estado ou se tornaram subutilizados em razão de alegações de antieconomicidade.</w:t>
      </w:r>
    </w:p>
    <w:p w:rsidR="002B54AB" w:rsidRDefault="002B54AB" w:rsidP="002B54AB">
      <w:pPr>
        <w:spacing w:after="360"/>
        <w:ind w:firstLine="1418"/>
        <w:jc w:val="both"/>
        <w:rPr>
          <w:sz w:val="26"/>
          <w:szCs w:val="26"/>
        </w:rPr>
      </w:pPr>
      <w:r>
        <w:rPr>
          <w:sz w:val="26"/>
          <w:szCs w:val="26"/>
        </w:rPr>
        <w:t>Para ampliar a malha o Governo Lula, em 2008, optou por fortalecer a estatal federal VALEC por meio da Lei nº 11.772, de 17 de setembro de 2008, que reestruturou a Empresa Pública VALEC. A Lei nº 11.772, de 2008 previu que a VALEC construiria e exploraria as seguintes ferrovias:</w:t>
      </w:r>
    </w:p>
    <w:p w:rsidR="002B54AB" w:rsidRDefault="002B54AB" w:rsidP="000A4706">
      <w:pPr>
        <w:numPr>
          <w:ilvl w:val="0"/>
          <w:numId w:val="8"/>
        </w:numPr>
        <w:spacing w:after="360"/>
        <w:jc w:val="both"/>
        <w:rPr>
          <w:sz w:val="26"/>
          <w:szCs w:val="26"/>
        </w:rPr>
      </w:pPr>
      <w:r w:rsidRPr="000A4706">
        <w:rPr>
          <w:b/>
          <w:sz w:val="26"/>
          <w:szCs w:val="26"/>
        </w:rPr>
        <w:t>EF-151</w:t>
      </w:r>
      <w:r>
        <w:rPr>
          <w:sz w:val="26"/>
          <w:szCs w:val="26"/>
        </w:rPr>
        <w:t>, denominada Ferrovia Norte-Sul; que ligaria Belém-PA a Panoram-SP;</w:t>
      </w:r>
    </w:p>
    <w:p w:rsidR="002B54AB" w:rsidRDefault="002B54AB" w:rsidP="000A4706">
      <w:pPr>
        <w:numPr>
          <w:ilvl w:val="0"/>
          <w:numId w:val="8"/>
        </w:numPr>
        <w:spacing w:after="360"/>
        <w:jc w:val="both"/>
        <w:rPr>
          <w:sz w:val="26"/>
          <w:szCs w:val="26"/>
        </w:rPr>
      </w:pPr>
      <w:r w:rsidRPr="000A4706">
        <w:rPr>
          <w:b/>
          <w:sz w:val="26"/>
          <w:szCs w:val="26"/>
        </w:rPr>
        <w:t>EF-267</w:t>
      </w:r>
      <w:r>
        <w:rPr>
          <w:sz w:val="26"/>
          <w:szCs w:val="26"/>
        </w:rPr>
        <w:t>, ramal de ligação entre a EF-151 em Panorama-SP a Porto Murtinho-MS;</w:t>
      </w:r>
    </w:p>
    <w:p w:rsidR="002B54AB" w:rsidRDefault="002B54AB" w:rsidP="000A4706">
      <w:pPr>
        <w:numPr>
          <w:ilvl w:val="0"/>
          <w:numId w:val="8"/>
        </w:numPr>
        <w:spacing w:after="360"/>
        <w:jc w:val="both"/>
        <w:rPr>
          <w:sz w:val="26"/>
          <w:szCs w:val="26"/>
        </w:rPr>
      </w:pPr>
      <w:r w:rsidRPr="000A4706">
        <w:rPr>
          <w:b/>
          <w:sz w:val="26"/>
          <w:szCs w:val="26"/>
        </w:rPr>
        <w:t>EF-334</w:t>
      </w:r>
      <w:r>
        <w:rPr>
          <w:sz w:val="26"/>
          <w:szCs w:val="26"/>
        </w:rPr>
        <w:t xml:space="preserve">, denominada Ferrovia de Integração Oeste Leste (FIOL), que liga Ihéus-BA a EF-151; e </w:t>
      </w:r>
    </w:p>
    <w:p w:rsidR="002B54AB" w:rsidRDefault="002B54AB" w:rsidP="000A4706">
      <w:pPr>
        <w:numPr>
          <w:ilvl w:val="0"/>
          <w:numId w:val="8"/>
        </w:numPr>
        <w:spacing w:after="360"/>
        <w:jc w:val="both"/>
        <w:rPr>
          <w:sz w:val="26"/>
          <w:szCs w:val="26"/>
        </w:rPr>
      </w:pPr>
      <w:r w:rsidRPr="000A4706">
        <w:rPr>
          <w:b/>
          <w:sz w:val="26"/>
          <w:szCs w:val="26"/>
        </w:rPr>
        <w:t>EF-354</w:t>
      </w:r>
      <w:r>
        <w:rPr>
          <w:sz w:val="26"/>
          <w:szCs w:val="26"/>
        </w:rPr>
        <w:t>, denominada ferrovia Transoceânica, que liga o litoral norte fluminense à fronteira Brasil-Peru.</w:t>
      </w:r>
    </w:p>
    <w:p w:rsidR="002B54AB" w:rsidRDefault="002B54AB" w:rsidP="002B54AB">
      <w:pPr>
        <w:spacing w:after="360"/>
        <w:ind w:firstLine="1418"/>
        <w:jc w:val="both"/>
        <w:rPr>
          <w:sz w:val="26"/>
          <w:szCs w:val="26"/>
        </w:rPr>
      </w:pPr>
      <w:r w:rsidRPr="002B54AB">
        <w:rPr>
          <w:sz w:val="26"/>
          <w:szCs w:val="26"/>
        </w:rPr>
        <w:t>Dessas quatro ferrovias, apenas a EF-151 foi parcialmente construída no trecho entre Açailândia-MA e Anápolis-GO, todavia ainda não está integralmente operacional</w:t>
      </w:r>
      <w:r w:rsidR="000A4706">
        <w:rPr>
          <w:sz w:val="26"/>
          <w:szCs w:val="26"/>
        </w:rPr>
        <w:t>. A</w:t>
      </w:r>
      <w:r w:rsidRPr="002B54AB">
        <w:rPr>
          <w:sz w:val="26"/>
          <w:szCs w:val="26"/>
        </w:rPr>
        <w:t xml:space="preserve">té dezembro de 2015, apenas </w:t>
      </w:r>
      <w:r>
        <w:rPr>
          <w:sz w:val="26"/>
          <w:szCs w:val="26"/>
        </w:rPr>
        <w:t xml:space="preserve">o tramo entre Porto Nacional-TO e Açailândia-MA estavam operacionais, operados pela VLI, </w:t>
      </w:r>
      <w:r w:rsidRPr="002B54AB">
        <w:rPr>
          <w:i/>
          <w:sz w:val="26"/>
          <w:szCs w:val="26"/>
        </w:rPr>
        <w:t>holding</w:t>
      </w:r>
      <w:r>
        <w:rPr>
          <w:sz w:val="26"/>
          <w:szCs w:val="26"/>
        </w:rPr>
        <w:t xml:space="preserve"> que opera na área de logística, controlada pelas empresas VALE, Mitsui, FI-FGTS e </w:t>
      </w:r>
      <w:r w:rsidRPr="002B54AB">
        <w:rPr>
          <w:i/>
          <w:sz w:val="26"/>
          <w:szCs w:val="26"/>
        </w:rPr>
        <w:t>Brookfield</w:t>
      </w:r>
      <w:r w:rsidR="00547501">
        <w:rPr>
          <w:i/>
          <w:sz w:val="26"/>
          <w:szCs w:val="26"/>
        </w:rPr>
        <w:t xml:space="preserve"> </w:t>
      </w:r>
      <w:r w:rsidR="00547501">
        <w:rPr>
          <w:sz w:val="26"/>
          <w:szCs w:val="26"/>
        </w:rPr>
        <w:t>organizada como Operador Ferroviário Independente atuando</w:t>
      </w:r>
      <w:r w:rsidR="00DF2A83">
        <w:rPr>
          <w:sz w:val="26"/>
          <w:szCs w:val="26"/>
        </w:rPr>
        <w:t>,</w:t>
      </w:r>
      <w:r w:rsidR="00547501">
        <w:rPr>
          <w:sz w:val="26"/>
          <w:szCs w:val="26"/>
        </w:rPr>
        <w:t xml:space="preserve"> notadamente</w:t>
      </w:r>
      <w:r w:rsidR="00DF2A83">
        <w:rPr>
          <w:sz w:val="26"/>
          <w:szCs w:val="26"/>
        </w:rPr>
        <w:t>,</w:t>
      </w:r>
      <w:r w:rsidR="00547501" w:rsidRPr="00832EFE">
        <w:rPr>
          <w:sz w:val="26"/>
          <w:szCs w:val="26"/>
        </w:rPr>
        <w:t xml:space="preserve"> </w:t>
      </w:r>
      <w:r w:rsidR="00547501" w:rsidRPr="00547501">
        <w:rPr>
          <w:sz w:val="26"/>
          <w:szCs w:val="26"/>
        </w:rPr>
        <w:t xml:space="preserve">nas concessões ferroviárias da VALE </w:t>
      </w:r>
      <w:r w:rsidR="00547501">
        <w:rPr>
          <w:sz w:val="26"/>
          <w:szCs w:val="26"/>
        </w:rPr>
        <w:t xml:space="preserve">com </w:t>
      </w:r>
      <w:r w:rsidR="00547501" w:rsidRPr="00832EFE">
        <w:rPr>
          <w:sz w:val="26"/>
          <w:szCs w:val="26"/>
        </w:rPr>
        <w:t>carga geral</w:t>
      </w:r>
      <w:r w:rsidR="00033D16">
        <w:rPr>
          <w:sz w:val="26"/>
          <w:szCs w:val="26"/>
        </w:rPr>
        <w:t>,</w:t>
      </w:r>
      <w:r w:rsidR="00547501" w:rsidRPr="00832EFE">
        <w:rPr>
          <w:sz w:val="26"/>
          <w:szCs w:val="26"/>
        </w:rPr>
        <w:t xml:space="preserve"> grãos</w:t>
      </w:r>
      <w:r w:rsidR="00033D16">
        <w:rPr>
          <w:sz w:val="26"/>
          <w:szCs w:val="26"/>
        </w:rPr>
        <w:t>, combustíveis, fertilizantes, madeira e produtos siderúrgicos</w:t>
      </w:r>
      <w:r w:rsidR="00033D16">
        <w:rPr>
          <w:rStyle w:val="Refdenotaderodap"/>
          <w:sz w:val="26"/>
          <w:szCs w:val="26"/>
        </w:rPr>
        <w:footnoteReference w:id="8"/>
      </w:r>
      <w:r>
        <w:rPr>
          <w:sz w:val="26"/>
          <w:szCs w:val="26"/>
        </w:rPr>
        <w:t>.</w:t>
      </w:r>
    </w:p>
    <w:p w:rsidR="002B54AB" w:rsidRDefault="00DF2A83" w:rsidP="002B54AB">
      <w:pPr>
        <w:spacing w:after="360"/>
        <w:ind w:firstLine="1418"/>
        <w:jc w:val="both"/>
        <w:rPr>
          <w:sz w:val="26"/>
          <w:szCs w:val="26"/>
        </w:rPr>
      </w:pPr>
      <w:r>
        <w:rPr>
          <w:sz w:val="26"/>
          <w:szCs w:val="26"/>
        </w:rPr>
        <w:t>O</w:t>
      </w:r>
      <w:r w:rsidR="002B54AB">
        <w:rPr>
          <w:sz w:val="26"/>
          <w:szCs w:val="26"/>
        </w:rPr>
        <w:t xml:space="preserve"> tramo sul da EF-151 entre Ouro Verde-GO e Estrela do Oeste-SP</w:t>
      </w:r>
      <w:r>
        <w:rPr>
          <w:sz w:val="26"/>
          <w:szCs w:val="26"/>
        </w:rPr>
        <w:t xml:space="preserve"> está sendo construído pela </w:t>
      </w:r>
      <w:r w:rsidR="002B54AB">
        <w:rPr>
          <w:sz w:val="26"/>
          <w:szCs w:val="26"/>
        </w:rPr>
        <w:t xml:space="preserve">VALEC </w:t>
      </w:r>
      <w:r>
        <w:rPr>
          <w:sz w:val="26"/>
          <w:szCs w:val="26"/>
        </w:rPr>
        <w:t xml:space="preserve">que </w:t>
      </w:r>
      <w:r w:rsidR="002B54AB">
        <w:rPr>
          <w:sz w:val="26"/>
          <w:szCs w:val="26"/>
        </w:rPr>
        <w:t>também está construindo um tramo da EF-334 entre Ilhéus e Barreiras, todavia com atrasos significativos na construção. Segundo notícias da imprensa</w:t>
      </w:r>
      <w:r w:rsidR="002B54AB">
        <w:rPr>
          <w:rStyle w:val="Refdenotaderodap"/>
          <w:sz w:val="26"/>
          <w:szCs w:val="26"/>
        </w:rPr>
        <w:footnoteReference w:id="9"/>
      </w:r>
      <w:r w:rsidR="002B54AB">
        <w:rPr>
          <w:sz w:val="26"/>
          <w:szCs w:val="26"/>
        </w:rPr>
        <w:t>, o</w:t>
      </w:r>
      <w:r w:rsidR="002B54AB" w:rsidRPr="002B54AB">
        <w:rPr>
          <w:sz w:val="26"/>
          <w:szCs w:val="26"/>
        </w:rPr>
        <w:t xml:space="preserve"> trecho da Ferrovia de</w:t>
      </w:r>
      <w:r w:rsidR="002B54AB">
        <w:rPr>
          <w:sz w:val="26"/>
          <w:szCs w:val="26"/>
        </w:rPr>
        <w:t xml:space="preserve"> </w:t>
      </w:r>
      <w:r w:rsidR="002B54AB" w:rsidRPr="002B54AB">
        <w:rPr>
          <w:sz w:val="26"/>
          <w:szCs w:val="26"/>
        </w:rPr>
        <w:t>Integração Oeste-Leste (Fiol) de Ilhéus a Caetité, na Bahia, onde se encontra a principal frente</w:t>
      </w:r>
      <w:r w:rsidR="002B54AB">
        <w:rPr>
          <w:sz w:val="26"/>
          <w:szCs w:val="26"/>
        </w:rPr>
        <w:t xml:space="preserve"> </w:t>
      </w:r>
      <w:r w:rsidR="002B54AB" w:rsidRPr="002B54AB">
        <w:rPr>
          <w:sz w:val="26"/>
          <w:szCs w:val="26"/>
        </w:rPr>
        <w:t>de trabalho, já teve 70,1% de suas obras concluídas. O término dos trabalhos foi previsto</w:t>
      </w:r>
      <w:r w:rsidR="002B54AB">
        <w:rPr>
          <w:sz w:val="26"/>
          <w:szCs w:val="26"/>
        </w:rPr>
        <w:t xml:space="preserve"> </w:t>
      </w:r>
      <w:r w:rsidR="002B54AB" w:rsidRPr="002B54AB">
        <w:rPr>
          <w:sz w:val="26"/>
          <w:szCs w:val="26"/>
        </w:rPr>
        <w:t>inicialmente para dezembro de 2012. Agora, estima-se que o trabalho seja concluído somente</w:t>
      </w:r>
      <w:r w:rsidR="002B54AB">
        <w:rPr>
          <w:sz w:val="26"/>
          <w:szCs w:val="26"/>
        </w:rPr>
        <w:t xml:space="preserve"> </w:t>
      </w:r>
      <w:r w:rsidR="002B54AB" w:rsidRPr="002B54AB">
        <w:rPr>
          <w:sz w:val="26"/>
          <w:szCs w:val="26"/>
        </w:rPr>
        <w:t>em dezembro de 2017. Na continuação desse trecho, entre Caetité e Barreiras, também na</w:t>
      </w:r>
      <w:r w:rsidR="002B54AB">
        <w:rPr>
          <w:sz w:val="26"/>
          <w:szCs w:val="26"/>
        </w:rPr>
        <w:t xml:space="preserve"> </w:t>
      </w:r>
      <w:r w:rsidR="002B54AB" w:rsidRPr="002B54AB">
        <w:rPr>
          <w:sz w:val="26"/>
          <w:szCs w:val="26"/>
        </w:rPr>
        <w:t>Bahia, o número de empregados diretos passou de 2.187, em fevereiro, para 510 em novembro, e</w:t>
      </w:r>
      <w:r w:rsidR="002B54AB">
        <w:rPr>
          <w:sz w:val="26"/>
          <w:szCs w:val="26"/>
        </w:rPr>
        <w:t xml:space="preserve"> </w:t>
      </w:r>
      <w:r w:rsidR="002B54AB" w:rsidRPr="002B54AB">
        <w:rPr>
          <w:sz w:val="26"/>
          <w:szCs w:val="26"/>
        </w:rPr>
        <w:t>o prazo foi prorrogado até junho de 2018</w:t>
      </w:r>
      <w:r w:rsidR="002B54AB">
        <w:rPr>
          <w:sz w:val="26"/>
          <w:szCs w:val="26"/>
        </w:rPr>
        <w:t>.</w:t>
      </w:r>
    </w:p>
    <w:p w:rsidR="002B54AB" w:rsidRDefault="002B54AB" w:rsidP="002B54AB">
      <w:pPr>
        <w:spacing w:after="360"/>
        <w:ind w:firstLine="1418"/>
        <w:jc w:val="both"/>
        <w:rPr>
          <w:sz w:val="26"/>
          <w:szCs w:val="26"/>
        </w:rPr>
      </w:pPr>
      <w:r>
        <w:rPr>
          <w:sz w:val="26"/>
          <w:szCs w:val="26"/>
        </w:rPr>
        <w:t>As demais ferrovias outorgadas à VALEC pela Lei nº 11.772, de 2008 não saíram do papel. Durante o Governo Dilma</w:t>
      </w:r>
      <w:r w:rsidR="00DF2A83">
        <w:rPr>
          <w:sz w:val="26"/>
          <w:szCs w:val="26"/>
        </w:rPr>
        <w:t xml:space="preserve"> </w:t>
      </w:r>
      <w:r>
        <w:rPr>
          <w:sz w:val="26"/>
          <w:szCs w:val="26"/>
        </w:rPr>
        <w:t>v</w:t>
      </w:r>
      <w:r w:rsidR="00DF2A83">
        <w:rPr>
          <w:sz w:val="26"/>
          <w:szCs w:val="26"/>
        </w:rPr>
        <w:t>em</w:t>
      </w:r>
      <w:r w:rsidR="00D11544">
        <w:rPr>
          <w:sz w:val="26"/>
          <w:szCs w:val="26"/>
        </w:rPr>
        <w:t xml:space="preserve"> sendo </w:t>
      </w:r>
      <w:r>
        <w:rPr>
          <w:sz w:val="26"/>
          <w:szCs w:val="26"/>
        </w:rPr>
        <w:t>discutida a hipótese de se mudar o modelo de concessão ferroviária do adotado na década de 1990 em que o explorador da infraestrutura também explora o material rodante para um novo modelo</w:t>
      </w:r>
      <w:r w:rsidRPr="002B54AB">
        <w:rPr>
          <w:sz w:val="26"/>
          <w:szCs w:val="26"/>
        </w:rPr>
        <w:t xml:space="preserve"> de atuação do Estado no setor ferroviário baseado na desagregação vertical (</w:t>
      </w:r>
      <w:r w:rsidRPr="002B54AB">
        <w:rPr>
          <w:i/>
          <w:sz w:val="26"/>
          <w:szCs w:val="26"/>
        </w:rPr>
        <w:t>unbundling</w:t>
      </w:r>
      <w:r w:rsidRPr="002B54AB">
        <w:rPr>
          <w:sz w:val="26"/>
          <w:szCs w:val="26"/>
        </w:rPr>
        <w:t>) e no acesso aberto (</w:t>
      </w:r>
      <w:r w:rsidRPr="002B54AB">
        <w:rPr>
          <w:i/>
          <w:sz w:val="26"/>
          <w:szCs w:val="26"/>
        </w:rPr>
        <w:t>open access</w:t>
      </w:r>
      <w:r w:rsidRPr="002B54AB">
        <w:rPr>
          <w:sz w:val="26"/>
          <w:szCs w:val="26"/>
        </w:rPr>
        <w:t xml:space="preserve">), ou seja, na separação entre as outorgas para exploração da infraestrutura ferroviária e </w:t>
      </w:r>
      <w:r w:rsidR="00D11544">
        <w:rPr>
          <w:sz w:val="26"/>
          <w:szCs w:val="26"/>
        </w:rPr>
        <w:t xml:space="preserve">para </w:t>
      </w:r>
      <w:r w:rsidRPr="002B54AB">
        <w:rPr>
          <w:sz w:val="26"/>
          <w:szCs w:val="26"/>
        </w:rPr>
        <w:t>a prestação do serviço de transporte ferroviário, e na garantia de livre acesso à malha ferroviária por qualquer transportador habilitado</w:t>
      </w:r>
      <w:r>
        <w:rPr>
          <w:sz w:val="26"/>
          <w:szCs w:val="26"/>
        </w:rPr>
        <w:t>.</w:t>
      </w:r>
    </w:p>
    <w:p w:rsidR="002B54AB" w:rsidRDefault="002B54AB" w:rsidP="002B54AB">
      <w:pPr>
        <w:spacing w:after="360"/>
        <w:ind w:firstLine="1418"/>
        <w:jc w:val="both"/>
        <w:rPr>
          <w:sz w:val="26"/>
          <w:szCs w:val="26"/>
        </w:rPr>
      </w:pPr>
      <w:r>
        <w:rPr>
          <w:sz w:val="26"/>
          <w:szCs w:val="26"/>
        </w:rPr>
        <w:t xml:space="preserve">Em 2013, o Governo Federal instituiu </w:t>
      </w:r>
      <w:r w:rsidRPr="002B54AB">
        <w:rPr>
          <w:sz w:val="26"/>
          <w:szCs w:val="26"/>
        </w:rPr>
        <w:t xml:space="preserve">por meio do Decreto nº 8.129, de </w:t>
      </w:r>
      <w:r>
        <w:rPr>
          <w:sz w:val="26"/>
          <w:szCs w:val="26"/>
        </w:rPr>
        <w:t xml:space="preserve">23 de outubro de </w:t>
      </w:r>
      <w:r w:rsidRPr="002B54AB">
        <w:rPr>
          <w:sz w:val="26"/>
          <w:szCs w:val="26"/>
        </w:rPr>
        <w:t>2013</w:t>
      </w:r>
      <w:r>
        <w:rPr>
          <w:sz w:val="26"/>
          <w:szCs w:val="26"/>
        </w:rPr>
        <w:t xml:space="preserve">, a política de livre acesso ao subsistema ferroviário federal. A Valec, em 15/12/2014, chegou a comunicar ao mercado sua intenção de disponibilizar </w:t>
      </w:r>
      <w:r w:rsidRPr="002B54AB">
        <w:rPr>
          <w:sz w:val="26"/>
          <w:szCs w:val="26"/>
        </w:rPr>
        <w:t>a capacidade de transporte do trecho ferroviário compreendido ent</w:t>
      </w:r>
      <w:r>
        <w:rPr>
          <w:sz w:val="26"/>
          <w:szCs w:val="26"/>
        </w:rPr>
        <w:t>re as cidades de Porto Nacional-</w:t>
      </w:r>
      <w:r w:rsidRPr="002B54AB">
        <w:rPr>
          <w:sz w:val="26"/>
          <w:szCs w:val="26"/>
        </w:rPr>
        <w:t xml:space="preserve">TO </w:t>
      </w:r>
      <w:r>
        <w:rPr>
          <w:sz w:val="26"/>
          <w:szCs w:val="26"/>
        </w:rPr>
        <w:t>e Anápolis-</w:t>
      </w:r>
      <w:r w:rsidRPr="002B54AB">
        <w:rPr>
          <w:sz w:val="26"/>
          <w:szCs w:val="26"/>
        </w:rPr>
        <w:t>GO, da EF – 151 – Ferrovia Norte</w:t>
      </w:r>
      <w:r>
        <w:rPr>
          <w:sz w:val="26"/>
          <w:szCs w:val="26"/>
        </w:rPr>
        <w:t>-</w:t>
      </w:r>
      <w:r w:rsidRPr="002B54AB">
        <w:rPr>
          <w:sz w:val="26"/>
          <w:szCs w:val="26"/>
        </w:rPr>
        <w:t>Sul.</w:t>
      </w:r>
      <w:r>
        <w:rPr>
          <w:sz w:val="26"/>
          <w:szCs w:val="26"/>
        </w:rPr>
        <w:t xml:space="preserve"> Entretanto, com a divulgação do PIL 2 em junho de 2015, o modelo de </w:t>
      </w:r>
      <w:r w:rsidRPr="002B54AB">
        <w:rPr>
          <w:i/>
          <w:sz w:val="26"/>
          <w:szCs w:val="26"/>
        </w:rPr>
        <w:t>open acess</w:t>
      </w:r>
      <w:r>
        <w:rPr>
          <w:sz w:val="26"/>
          <w:szCs w:val="26"/>
        </w:rPr>
        <w:t xml:space="preserve"> foi relativizado.</w:t>
      </w:r>
    </w:p>
    <w:p w:rsidR="002B54AB" w:rsidRDefault="00DF2A83" w:rsidP="002B54AB">
      <w:pPr>
        <w:spacing w:after="360"/>
        <w:ind w:firstLine="1418"/>
        <w:jc w:val="both"/>
        <w:rPr>
          <w:sz w:val="26"/>
          <w:szCs w:val="26"/>
        </w:rPr>
      </w:pPr>
      <w:r>
        <w:rPr>
          <w:sz w:val="26"/>
          <w:szCs w:val="26"/>
        </w:rPr>
        <w:t>Assim, não é clara qual a posição atual do</w:t>
      </w:r>
      <w:r w:rsidR="002B54AB">
        <w:rPr>
          <w:sz w:val="26"/>
          <w:szCs w:val="26"/>
        </w:rPr>
        <w:t xml:space="preserve"> Governo Federal, </w:t>
      </w:r>
      <w:r>
        <w:rPr>
          <w:sz w:val="26"/>
          <w:szCs w:val="26"/>
        </w:rPr>
        <w:t xml:space="preserve">quanto ao </w:t>
      </w:r>
      <w:r w:rsidRPr="00DF2A83">
        <w:rPr>
          <w:i/>
          <w:sz w:val="26"/>
          <w:szCs w:val="26"/>
        </w:rPr>
        <w:t>open access</w:t>
      </w:r>
      <w:r>
        <w:rPr>
          <w:sz w:val="26"/>
          <w:szCs w:val="26"/>
        </w:rPr>
        <w:t>. Há incertezas se o Governo Federal</w:t>
      </w:r>
      <w:r w:rsidR="002B54AB">
        <w:rPr>
          <w:sz w:val="26"/>
          <w:szCs w:val="26"/>
        </w:rPr>
        <w:t xml:space="preserve"> desistiu </w:t>
      </w:r>
      <w:r>
        <w:rPr>
          <w:sz w:val="26"/>
          <w:szCs w:val="26"/>
        </w:rPr>
        <w:t xml:space="preserve">ou não </w:t>
      </w:r>
      <w:r w:rsidR="00194C40">
        <w:rPr>
          <w:sz w:val="26"/>
          <w:szCs w:val="26"/>
        </w:rPr>
        <w:t>desse modelo</w:t>
      </w:r>
      <w:r w:rsidR="002B54AB">
        <w:rPr>
          <w:sz w:val="26"/>
          <w:szCs w:val="26"/>
        </w:rPr>
        <w:t xml:space="preserve"> em prol de manter o formato de exploração monopolista da capacidade da ferrovia</w:t>
      </w:r>
      <w:r w:rsidR="006C09E4">
        <w:rPr>
          <w:sz w:val="26"/>
          <w:szCs w:val="26"/>
        </w:rPr>
        <w:t>. É certo, entretanto, que</w:t>
      </w:r>
      <w:r w:rsidR="00194C40">
        <w:rPr>
          <w:sz w:val="26"/>
          <w:szCs w:val="26"/>
        </w:rPr>
        <w:t xml:space="preserve"> </w:t>
      </w:r>
      <w:r w:rsidR="002B54AB">
        <w:rPr>
          <w:sz w:val="26"/>
          <w:szCs w:val="26"/>
        </w:rPr>
        <w:t xml:space="preserve">o </w:t>
      </w:r>
      <w:r w:rsidR="000A4706">
        <w:rPr>
          <w:sz w:val="26"/>
          <w:szCs w:val="26"/>
        </w:rPr>
        <w:t>Mercado</w:t>
      </w:r>
      <w:r w:rsidR="006C09E4">
        <w:rPr>
          <w:sz w:val="26"/>
          <w:szCs w:val="26"/>
        </w:rPr>
        <w:t xml:space="preserve"> vem rejeitando o </w:t>
      </w:r>
      <w:r w:rsidR="006C09E4" w:rsidRPr="006C09E4">
        <w:rPr>
          <w:i/>
          <w:sz w:val="26"/>
          <w:szCs w:val="26"/>
        </w:rPr>
        <w:t>open access</w:t>
      </w:r>
      <w:r w:rsidR="006C09E4">
        <w:rPr>
          <w:sz w:val="26"/>
          <w:szCs w:val="26"/>
        </w:rPr>
        <w:t xml:space="preserve"> em razão d</w:t>
      </w:r>
      <w:r w:rsidR="002B54AB">
        <w:rPr>
          <w:sz w:val="26"/>
          <w:szCs w:val="26"/>
        </w:rPr>
        <w:t xml:space="preserve">o chamado risco Valec, pois, </w:t>
      </w:r>
      <w:r w:rsidR="002B54AB" w:rsidRPr="00194C40">
        <w:rPr>
          <w:sz w:val="26"/>
          <w:szCs w:val="26"/>
        </w:rPr>
        <w:t>n</w:t>
      </w:r>
      <w:r w:rsidR="00194C40">
        <w:rPr>
          <w:sz w:val="26"/>
          <w:szCs w:val="26"/>
        </w:rPr>
        <w:t>esse formato</w:t>
      </w:r>
      <w:r w:rsidR="002B54AB">
        <w:rPr>
          <w:sz w:val="26"/>
          <w:szCs w:val="26"/>
        </w:rPr>
        <w:t xml:space="preserve"> a </w:t>
      </w:r>
      <w:r w:rsidR="002B54AB" w:rsidRPr="002B54AB">
        <w:rPr>
          <w:sz w:val="26"/>
          <w:szCs w:val="26"/>
        </w:rPr>
        <w:t xml:space="preserve">Valec </w:t>
      </w:r>
      <w:r w:rsidR="002B54AB">
        <w:rPr>
          <w:sz w:val="26"/>
          <w:szCs w:val="26"/>
        </w:rPr>
        <w:t>remunera o concessionário</w:t>
      </w:r>
      <w:r w:rsidR="002B54AB" w:rsidRPr="002B54AB">
        <w:rPr>
          <w:sz w:val="26"/>
          <w:szCs w:val="26"/>
        </w:rPr>
        <w:t xml:space="preserve"> integralmente </w:t>
      </w:r>
      <w:r w:rsidR="002B54AB">
        <w:rPr>
          <w:sz w:val="26"/>
          <w:szCs w:val="26"/>
        </w:rPr>
        <w:t xml:space="preserve">pela </w:t>
      </w:r>
      <w:r w:rsidR="002B54AB" w:rsidRPr="002B54AB">
        <w:rPr>
          <w:sz w:val="26"/>
          <w:szCs w:val="26"/>
        </w:rPr>
        <w:t>futura capacidade de</w:t>
      </w:r>
      <w:r w:rsidR="002B54AB">
        <w:rPr>
          <w:sz w:val="26"/>
          <w:szCs w:val="26"/>
        </w:rPr>
        <w:t xml:space="preserve"> </w:t>
      </w:r>
      <w:r w:rsidR="002B54AB" w:rsidRPr="002B54AB">
        <w:rPr>
          <w:sz w:val="26"/>
          <w:szCs w:val="26"/>
        </w:rPr>
        <w:t xml:space="preserve">transporte da ferrovia e revende esse direito no </w:t>
      </w:r>
      <w:r w:rsidR="001970FE">
        <w:rPr>
          <w:sz w:val="26"/>
          <w:szCs w:val="26"/>
        </w:rPr>
        <w:t xml:space="preserve">próprio </w:t>
      </w:r>
      <w:r w:rsidR="002B54AB" w:rsidRPr="002B54AB">
        <w:rPr>
          <w:sz w:val="26"/>
          <w:szCs w:val="26"/>
        </w:rPr>
        <w:t>mercado</w:t>
      </w:r>
      <w:r w:rsidR="001970FE">
        <w:rPr>
          <w:sz w:val="26"/>
          <w:szCs w:val="26"/>
        </w:rPr>
        <w:t xml:space="preserve"> de usuários da via</w:t>
      </w:r>
      <w:r w:rsidR="002B54AB" w:rsidRPr="002B54AB">
        <w:rPr>
          <w:sz w:val="26"/>
          <w:szCs w:val="26"/>
        </w:rPr>
        <w:t>. Na prática, isso garant</w:t>
      </w:r>
      <w:r w:rsidR="002B54AB">
        <w:rPr>
          <w:sz w:val="26"/>
          <w:szCs w:val="26"/>
        </w:rPr>
        <w:t>iria a</w:t>
      </w:r>
      <w:r w:rsidR="002B54AB" w:rsidRPr="002B54AB">
        <w:rPr>
          <w:sz w:val="26"/>
          <w:szCs w:val="26"/>
        </w:rPr>
        <w:t xml:space="preserve"> demanda aos</w:t>
      </w:r>
      <w:r w:rsidR="002B54AB">
        <w:rPr>
          <w:sz w:val="26"/>
          <w:szCs w:val="26"/>
        </w:rPr>
        <w:t xml:space="preserve"> </w:t>
      </w:r>
      <w:r w:rsidR="002B54AB" w:rsidRPr="002B54AB">
        <w:rPr>
          <w:sz w:val="26"/>
          <w:szCs w:val="26"/>
        </w:rPr>
        <w:t>investidores</w:t>
      </w:r>
      <w:r w:rsidR="002B54AB">
        <w:rPr>
          <w:sz w:val="26"/>
          <w:szCs w:val="26"/>
        </w:rPr>
        <w:t xml:space="preserve"> na exploração das concessões, mas provocaria o risco de inadimplência ao longo da vigência contratual, posto que a Valec poderia passar por uma crise financeira, em razão tanto de crise fiscal do Executivo, quanto de desequilíbrio na gestão do negócio. </w:t>
      </w:r>
    </w:p>
    <w:p w:rsidR="002B54AB" w:rsidRDefault="002B54AB" w:rsidP="002B54AB">
      <w:pPr>
        <w:spacing w:after="360"/>
        <w:ind w:firstLine="1418"/>
        <w:jc w:val="both"/>
        <w:rPr>
          <w:sz w:val="26"/>
          <w:szCs w:val="26"/>
        </w:rPr>
      </w:pPr>
      <w:r>
        <w:rPr>
          <w:sz w:val="26"/>
          <w:szCs w:val="26"/>
        </w:rPr>
        <w:t xml:space="preserve">No modelo de </w:t>
      </w:r>
      <w:r w:rsidRPr="002B54AB">
        <w:rPr>
          <w:i/>
          <w:sz w:val="26"/>
          <w:szCs w:val="26"/>
        </w:rPr>
        <w:t>open acess</w:t>
      </w:r>
      <w:r>
        <w:rPr>
          <w:sz w:val="26"/>
          <w:szCs w:val="26"/>
        </w:rPr>
        <w:t xml:space="preserve"> haveria um claro conflito de interesse entre a concessionária ferroviária e os usuários da ferrovia, com potencial impacto na produtividade da ferrovia, pois, parte da remuneração da concessionária viria de um intermediário, a Valec, independente do uso da ferrovia e parte da remuneração e dos custos viria da efetiva utilização da ferrovia. Assim, a maximização dos lucros poderia vir do uso parcial da ferrovia, hipótese em que a Valec arcaria sozinha com o prejuízo, posto que a assimetria de informações não permitir</w:t>
      </w:r>
      <w:r w:rsidR="000A4706">
        <w:rPr>
          <w:sz w:val="26"/>
          <w:szCs w:val="26"/>
        </w:rPr>
        <w:t>i</w:t>
      </w:r>
      <w:r>
        <w:rPr>
          <w:sz w:val="26"/>
          <w:szCs w:val="26"/>
        </w:rPr>
        <w:t>a a perfeita parametrização da remuneração da ferrovia. Nessa hipótese, a concessionária não teria incentivos para aumentar a produtividade da ferrovia, essa tarefa caberia a Valec que não possui nenhuma expertise no ramo de logística.</w:t>
      </w:r>
    </w:p>
    <w:p w:rsidR="002B54AB" w:rsidRDefault="002B54AB" w:rsidP="002B54AB">
      <w:pPr>
        <w:spacing w:after="360"/>
        <w:ind w:firstLine="1418"/>
        <w:jc w:val="both"/>
        <w:rPr>
          <w:sz w:val="26"/>
          <w:szCs w:val="26"/>
        </w:rPr>
      </w:pPr>
      <w:r>
        <w:rPr>
          <w:sz w:val="26"/>
          <w:szCs w:val="26"/>
        </w:rPr>
        <w:t>Assim, durante o Governo Dilma foram anunciados dois Planos de Investimento em Logística (PIL) na área de ferrovias. O PIL 1 foi lançado em 15 de agosto de 2012 e sem que nenhum quilômetro de trilhos fosse concedido ou construído em 09 de junho de 2015 foi lançado o PIL 2, sem uma formalização clara do futuro da política de acesso ao subsistema ferroviário federal.</w:t>
      </w:r>
    </w:p>
    <w:p w:rsidR="006C09E4" w:rsidRDefault="006C09E4" w:rsidP="002B54AB">
      <w:pPr>
        <w:spacing w:after="360"/>
        <w:ind w:firstLine="1418"/>
        <w:jc w:val="both"/>
        <w:rPr>
          <w:sz w:val="26"/>
          <w:szCs w:val="26"/>
        </w:rPr>
      </w:pPr>
    </w:p>
    <w:p w:rsidR="006C09E4" w:rsidRDefault="006C09E4" w:rsidP="002B54AB">
      <w:pPr>
        <w:spacing w:after="360"/>
        <w:ind w:firstLine="1418"/>
        <w:jc w:val="both"/>
        <w:rPr>
          <w:sz w:val="26"/>
          <w:szCs w:val="26"/>
        </w:rPr>
      </w:pPr>
    </w:p>
    <w:p w:rsidR="006C09E4" w:rsidRDefault="006C09E4" w:rsidP="002B54AB">
      <w:pPr>
        <w:spacing w:after="360"/>
        <w:ind w:firstLine="1418"/>
        <w:jc w:val="both"/>
        <w:rPr>
          <w:sz w:val="26"/>
          <w:szCs w:val="26"/>
        </w:rPr>
      </w:pPr>
    </w:p>
    <w:p w:rsidR="000A4706" w:rsidRDefault="000A4706" w:rsidP="000A4706">
      <w:pPr>
        <w:pStyle w:val="Legenda"/>
        <w:keepNext/>
      </w:pPr>
      <w:r>
        <w:t xml:space="preserve">Tabela </w:t>
      </w:r>
      <w:fldSimple w:instr=" SEQ Tabela \* ARABIC ">
        <w:r w:rsidR="00780B83">
          <w:rPr>
            <w:noProof/>
          </w:rPr>
          <w:t>8</w:t>
        </w:r>
      </w:fldSimple>
      <w:r>
        <w:t xml:space="preserve"> Programas de Investimento em Logística na área ferroviária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559"/>
        <w:gridCol w:w="3565"/>
      </w:tblGrid>
      <w:tr w:rsidR="002B54AB" w:rsidRPr="000A4706" w:rsidTr="00E60678">
        <w:tc>
          <w:tcPr>
            <w:tcW w:w="1676" w:type="dxa"/>
          </w:tcPr>
          <w:p w:rsidR="002B54AB" w:rsidRPr="000A4706" w:rsidRDefault="002B54AB" w:rsidP="00E60678">
            <w:pPr>
              <w:jc w:val="both"/>
              <w:rPr>
                <w:sz w:val="20"/>
                <w:szCs w:val="20"/>
              </w:rPr>
            </w:pPr>
            <w:r w:rsidRPr="000A4706">
              <w:rPr>
                <w:sz w:val="20"/>
                <w:szCs w:val="20"/>
              </w:rPr>
              <w:t>Programa</w:t>
            </w:r>
          </w:p>
        </w:tc>
        <w:tc>
          <w:tcPr>
            <w:tcW w:w="3626" w:type="dxa"/>
          </w:tcPr>
          <w:p w:rsidR="002B54AB" w:rsidRPr="000A4706" w:rsidRDefault="002B54AB" w:rsidP="00E60678">
            <w:pPr>
              <w:jc w:val="both"/>
              <w:rPr>
                <w:sz w:val="20"/>
                <w:szCs w:val="20"/>
              </w:rPr>
            </w:pPr>
            <w:r w:rsidRPr="000A4706">
              <w:rPr>
                <w:sz w:val="20"/>
                <w:szCs w:val="20"/>
              </w:rPr>
              <w:t>PIL 1</w:t>
            </w:r>
          </w:p>
        </w:tc>
        <w:tc>
          <w:tcPr>
            <w:tcW w:w="3626" w:type="dxa"/>
          </w:tcPr>
          <w:p w:rsidR="002B54AB" w:rsidRPr="000A4706" w:rsidRDefault="002B54AB" w:rsidP="00E60678">
            <w:pPr>
              <w:jc w:val="both"/>
              <w:rPr>
                <w:sz w:val="20"/>
                <w:szCs w:val="20"/>
              </w:rPr>
            </w:pPr>
            <w:r w:rsidRPr="000A4706">
              <w:rPr>
                <w:sz w:val="20"/>
                <w:szCs w:val="20"/>
              </w:rPr>
              <w:t>PIL 2</w:t>
            </w:r>
          </w:p>
        </w:tc>
      </w:tr>
      <w:tr w:rsidR="002B54AB" w:rsidRPr="000A4706" w:rsidTr="00E60678">
        <w:tc>
          <w:tcPr>
            <w:tcW w:w="1676" w:type="dxa"/>
          </w:tcPr>
          <w:p w:rsidR="002B54AB" w:rsidRPr="000A4706" w:rsidRDefault="002B54AB" w:rsidP="00E60678">
            <w:pPr>
              <w:jc w:val="both"/>
              <w:rPr>
                <w:sz w:val="20"/>
                <w:szCs w:val="20"/>
              </w:rPr>
            </w:pPr>
            <w:r w:rsidRPr="000A4706">
              <w:rPr>
                <w:sz w:val="20"/>
                <w:szCs w:val="20"/>
              </w:rPr>
              <w:t>Modelo</w:t>
            </w:r>
          </w:p>
        </w:tc>
        <w:tc>
          <w:tcPr>
            <w:tcW w:w="3626" w:type="dxa"/>
          </w:tcPr>
          <w:p w:rsidR="002B54AB" w:rsidRPr="000A4706" w:rsidRDefault="002B54AB" w:rsidP="00E60678">
            <w:pPr>
              <w:jc w:val="both"/>
              <w:rPr>
                <w:sz w:val="20"/>
                <w:szCs w:val="20"/>
              </w:rPr>
            </w:pPr>
            <w:r w:rsidRPr="000A4706">
              <w:rPr>
                <w:i/>
                <w:sz w:val="20"/>
                <w:szCs w:val="20"/>
              </w:rPr>
              <w:t xml:space="preserve">Open acces. </w:t>
            </w:r>
            <w:r w:rsidRPr="000A4706">
              <w:rPr>
                <w:sz w:val="20"/>
                <w:szCs w:val="20"/>
              </w:rPr>
              <w:t>A concessionária detém o direito de exploração da infraestrutura ferroviária. A Valec compra a totalidade da capacidade da ferrovia remunerando a concessionária por uma tarifa (Tarifa pela Disponibilidade da Capacidade Operacional - TDCO). A Valec subcede, a título oneroso, o direito de uso de capacidade de tráfego a operadores ferroviários.</w:t>
            </w:r>
          </w:p>
        </w:tc>
        <w:tc>
          <w:tcPr>
            <w:tcW w:w="3626" w:type="dxa"/>
          </w:tcPr>
          <w:p w:rsidR="002B54AB" w:rsidRPr="000A4706" w:rsidRDefault="002B54AB" w:rsidP="00E60678">
            <w:pPr>
              <w:jc w:val="both"/>
              <w:rPr>
                <w:sz w:val="20"/>
                <w:szCs w:val="20"/>
              </w:rPr>
            </w:pPr>
            <w:r w:rsidRPr="000A4706">
              <w:rPr>
                <w:sz w:val="20"/>
                <w:szCs w:val="20"/>
              </w:rPr>
              <w:t>Variável. Maior valor de outorga (vence quem oferecer ao governo maior valor pelo direto de exploração); menor tarifa; e compartilhamento de investimentos. A escolha do modelo se dará de acordo com as características de cada ferrovia. Em todos os casos, haverá garantia de direito de passagem.</w:t>
            </w:r>
          </w:p>
        </w:tc>
      </w:tr>
      <w:tr w:rsidR="002B54AB" w:rsidRPr="000A4706" w:rsidTr="00E60678">
        <w:tc>
          <w:tcPr>
            <w:tcW w:w="1676" w:type="dxa"/>
          </w:tcPr>
          <w:p w:rsidR="002B54AB" w:rsidRPr="000A4706" w:rsidRDefault="002B54AB" w:rsidP="00E60678">
            <w:pPr>
              <w:jc w:val="both"/>
              <w:rPr>
                <w:sz w:val="20"/>
                <w:szCs w:val="20"/>
              </w:rPr>
            </w:pPr>
            <w:r w:rsidRPr="000A4706">
              <w:rPr>
                <w:sz w:val="20"/>
                <w:szCs w:val="20"/>
              </w:rPr>
              <w:t>Trechos</w:t>
            </w:r>
          </w:p>
        </w:tc>
        <w:tc>
          <w:tcPr>
            <w:tcW w:w="3626" w:type="dxa"/>
          </w:tcPr>
          <w:p w:rsidR="002B54AB" w:rsidRPr="000A4706" w:rsidRDefault="002B54AB" w:rsidP="00E60678">
            <w:pPr>
              <w:jc w:val="both"/>
              <w:rPr>
                <w:sz w:val="20"/>
                <w:szCs w:val="20"/>
              </w:rPr>
            </w:pPr>
            <w:r w:rsidRPr="000A4706">
              <w:rPr>
                <w:sz w:val="20"/>
                <w:szCs w:val="20"/>
              </w:rPr>
              <w:t>- Porto Nacional-TO - Estrela D'Oeste-SP;</w:t>
            </w:r>
          </w:p>
          <w:p w:rsidR="002B54AB" w:rsidRPr="000A4706" w:rsidRDefault="002B54AB" w:rsidP="00E60678">
            <w:pPr>
              <w:jc w:val="both"/>
              <w:rPr>
                <w:sz w:val="20"/>
                <w:szCs w:val="20"/>
              </w:rPr>
            </w:pPr>
            <w:r w:rsidRPr="000A4706">
              <w:rPr>
                <w:sz w:val="20"/>
                <w:szCs w:val="20"/>
              </w:rPr>
              <w:t>- Anápolis-GO – Corinto-MG;</w:t>
            </w:r>
          </w:p>
          <w:p w:rsidR="002B54AB" w:rsidRPr="000A4706" w:rsidRDefault="002B54AB" w:rsidP="00E60678">
            <w:pPr>
              <w:jc w:val="both"/>
              <w:rPr>
                <w:sz w:val="20"/>
                <w:szCs w:val="20"/>
              </w:rPr>
            </w:pPr>
            <w:r w:rsidRPr="000A4706">
              <w:rPr>
                <w:sz w:val="20"/>
                <w:szCs w:val="20"/>
              </w:rPr>
              <w:t>- Belo Horizonte – Guanambi-BA;</w:t>
            </w:r>
          </w:p>
          <w:p w:rsidR="002B54AB" w:rsidRPr="000A4706" w:rsidRDefault="002B54AB" w:rsidP="00E60678">
            <w:pPr>
              <w:jc w:val="both"/>
              <w:rPr>
                <w:sz w:val="20"/>
                <w:szCs w:val="20"/>
              </w:rPr>
            </w:pPr>
            <w:r w:rsidRPr="000A4706">
              <w:rPr>
                <w:sz w:val="20"/>
                <w:szCs w:val="20"/>
              </w:rPr>
              <w:t>- Açailândia-PA – Barcarena-MG;</w:t>
            </w:r>
          </w:p>
          <w:p w:rsidR="002B54AB" w:rsidRPr="000A4706" w:rsidRDefault="002B54AB" w:rsidP="00E60678">
            <w:pPr>
              <w:jc w:val="both"/>
              <w:rPr>
                <w:sz w:val="20"/>
                <w:szCs w:val="20"/>
              </w:rPr>
            </w:pPr>
            <w:r w:rsidRPr="000A4706">
              <w:rPr>
                <w:sz w:val="20"/>
                <w:szCs w:val="20"/>
              </w:rPr>
              <w:t xml:space="preserve">- Sinop-MT – Miritituba-PA </w:t>
            </w:r>
          </w:p>
          <w:p w:rsidR="002B54AB" w:rsidRPr="000A4706" w:rsidRDefault="002B54AB" w:rsidP="00E60678">
            <w:pPr>
              <w:jc w:val="both"/>
              <w:rPr>
                <w:sz w:val="20"/>
                <w:szCs w:val="20"/>
              </w:rPr>
            </w:pPr>
            <w:r w:rsidRPr="000A4706">
              <w:rPr>
                <w:sz w:val="20"/>
                <w:szCs w:val="20"/>
              </w:rPr>
              <w:t xml:space="preserve">- Sapezal-MT - Porto Velho-RO </w:t>
            </w:r>
          </w:p>
          <w:p w:rsidR="002B54AB" w:rsidRPr="000A4706" w:rsidRDefault="002B54AB" w:rsidP="00E60678">
            <w:pPr>
              <w:jc w:val="both"/>
              <w:rPr>
                <w:sz w:val="20"/>
                <w:szCs w:val="20"/>
              </w:rPr>
            </w:pPr>
            <w:r w:rsidRPr="000A4706">
              <w:rPr>
                <w:sz w:val="20"/>
                <w:szCs w:val="20"/>
              </w:rPr>
              <w:t>- Estrela D’Oeste -SP – Dourados-MS</w:t>
            </w:r>
          </w:p>
          <w:p w:rsidR="002B54AB" w:rsidRPr="000A4706" w:rsidRDefault="002B54AB" w:rsidP="00E60678">
            <w:pPr>
              <w:jc w:val="both"/>
              <w:rPr>
                <w:sz w:val="20"/>
                <w:szCs w:val="20"/>
              </w:rPr>
            </w:pPr>
            <w:r w:rsidRPr="000A4706">
              <w:rPr>
                <w:sz w:val="20"/>
                <w:szCs w:val="20"/>
              </w:rPr>
              <w:t>- Corinto-MG – Campos-RJ</w:t>
            </w:r>
          </w:p>
          <w:p w:rsidR="002B54AB" w:rsidRPr="000A4706" w:rsidRDefault="002B54AB" w:rsidP="00E60678">
            <w:pPr>
              <w:jc w:val="both"/>
              <w:rPr>
                <w:sz w:val="20"/>
                <w:szCs w:val="20"/>
              </w:rPr>
            </w:pPr>
            <w:r w:rsidRPr="000A4706">
              <w:rPr>
                <w:sz w:val="20"/>
                <w:szCs w:val="20"/>
              </w:rPr>
              <w:t>- Maracaju-MS – Paranaguá-PR</w:t>
            </w:r>
          </w:p>
          <w:p w:rsidR="002B54AB" w:rsidRPr="000A4706" w:rsidRDefault="002B54AB" w:rsidP="00E60678">
            <w:pPr>
              <w:jc w:val="both"/>
              <w:rPr>
                <w:sz w:val="20"/>
                <w:szCs w:val="20"/>
              </w:rPr>
            </w:pPr>
            <w:r w:rsidRPr="000A4706">
              <w:rPr>
                <w:sz w:val="20"/>
                <w:szCs w:val="20"/>
              </w:rPr>
              <w:t>- Salvador-BA – Recife-PE</w:t>
            </w:r>
          </w:p>
          <w:p w:rsidR="002B54AB" w:rsidRPr="000A4706" w:rsidRDefault="002B54AB" w:rsidP="00E60678">
            <w:pPr>
              <w:jc w:val="both"/>
              <w:rPr>
                <w:sz w:val="20"/>
                <w:szCs w:val="20"/>
              </w:rPr>
            </w:pPr>
            <w:r w:rsidRPr="000A4706">
              <w:rPr>
                <w:sz w:val="20"/>
                <w:szCs w:val="20"/>
              </w:rPr>
              <w:t>- Lucas do Rio Verde-MT – Campinorte-GO</w:t>
            </w:r>
          </w:p>
          <w:p w:rsidR="002B54AB" w:rsidRPr="000A4706" w:rsidRDefault="002B54AB" w:rsidP="00E60678">
            <w:pPr>
              <w:jc w:val="both"/>
              <w:rPr>
                <w:sz w:val="20"/>
                <w:szCs w:val="20"/>
              </w:rPr>
            </w:pPr>
            <w:r w:rsidRPr="000A4706">
              <w:rPr>
                <w:sz w:val="20"/>
                <w:szCs w:val="20"/>
              </w:rPr>
              <w:t>- Ferroanel de São Paulo</w:t>
            </w:r>
          </w:p>
          <w:p w:rsidR="002B54AB" w:rsidRPr="000A4706" w:rsidRDefault="002B54AB" w:rsidP="00E60678">
            <w:pPr>
              <w:jc w:val="both"/>
              <w:rPr>
                <w:sz w:val="20"/>
                <w:szCs w:val="20"/>
              </w:rPr>
            </w:pPr>
            <w:r w:rsidRPr="000A4706">
              <w:rPr>
                <w:sz w:val="20"/>
                <w:szCs w:val="20"/>
              </w:rPr>
              <w:t>- Rio de Janeiro-RJ – Vitória-ES</w:t>
            </w:r>
          </w:p>
          <w:p w:rsidR="002B54AB" w:rsidRPr="000A4706" w:rsidRDefault="002B54AB" w:rsidP="00E60678">
            <w:pPr>
              <w:jc w:val="both"/>
              <w:rPr>
                <w:sz w:val="20"/>
                <w:szCs w:val="20"/>
              </w:rPr>
            </w:pPr>
            <w:r w:rsidRPr="000A4706">
              <w:rPr>
                <w:sz w:val="20"/>
                <w:szCs w:val="20"/>
              </w:rPr>
              <w:t>- São Paulo-SP - Rio Grande-RS</w:t>
            </w:r>
          </w:p>
        </w:tc>
        <w:tc>
          <w:tcPr>
            <w:tcW w:w="3626" w:type="dxa"/>
          </w:tcPr>
          <w:p w:rsidR="002B54AB" w:rsidRPr="000A4706" w:rsidRDefault="002B54AB" w:rsidP="00E60678">
            <w:pPr>
              <w:jc w:val="both"/>
              <w:rPr>
                <w:sz w:val="20"/>
                <w:szCs w:val="20"/>
              </w:rPr>
            </w:pPr>
            <w:r w:rsidRPr="000A4706">
              <w:rPr>
                <w:sz w:val="20"/>
                <w:szCs w:val="20"/>
              </w:rPr>
              <w:t>- Palmas-TO – Anápolis-GO e Barcarena-PA – Açailândia-MA;</w:t>
            </w:r>
          </w:p>
          <w:p w:rsidR="002B54AB" w:rsidRPr="000A4706" w:rsidRDefault="002B54AB" w:rsidP="00E60678">
            <w:pPr>
              <w:jc w:val="both"/>
              <w:rPr>
                <w:sz w:val="20"/>
                <w:szCs w:val="20"/>
              </w:rPr>
            </w:pPr>
            <w:r w:rsidRPr="000A4706">
              <w:rPr>
                <w:sz w:val="20"/>
                <w:szCs w:val="20"/>
              </w:rPr>
              <w:t>- Anápolis-GO - Estrela D´Oeste-SP - Três Lagoas –MS;</w:t>
            </w:r>
          </w:p>
          <w:p w:rsidR="002B54AB" w:rsidRPr="000A4706" w:rsidRDefault="002B54AB" w:rsidP="00E60678">
            <w:pPr>
              <w:jc w:val="both"/>
              <w:rPr>
                <w:sz w:val="20"/>
                <w:szCs w:val="20"/>
              </w:rPr>
            </w:pPr>
            <w:r w:rsidRPr="000A4706">
              <w:rPr>
                <w:sz w:val="20"/>
                <w:szCs w:val="20"/>
              </w:rPr>
              <w:t>-Lucas do Rio Verde-MT e Miritituba-PA;</w:t>
            </w:r>
          </w:p>
          <w:p w:rsidR="002B54AB" w:rsidRPr="000A4706" w:rsidRDefault="002B54AB" w:rsidP="00E60678">
            <w:pPr>
              <w:jc w:val="both"/>
              <w:rPr>
                <w:sz w:val="20"/>
                <w:szCs w:val="20"/>
              </w:rPr>
            </w:pPr>
            <w:r w:rsidRPr="000A4706">
              <w:rPr>
                <w:sz w:val="20"/>
                <w:szCs w:val="20"/>
              </w:rPr>
              <w:t>- Rio de Janeiro – Espírito Santo;</w:t>
            </w:r>
          </w:p>
          <w:p w:rsidR="002B54AB" w:rsidRPr="000A4706" w:rsidRDefault="002B54AB" w:rsidP="00E60678">
            <w:pPr>
              <w:jc w:val="both"/>
              <w:rPr>
                <w:sz w:val="20"/>
                <w:szCs w:val="20"/>
              </w:rPr>
            </w:pPr>
            <w:r w:rsidRPr="000A4706">
              <w:rPr>
                <w:sz w:val="20"/>
                <w:szCs w:val="20"/>
              </w:rPr>
              <w:t>- Bioceânica (que interligará o Centro-Oeste brasileiro ao Peru).</w:t>
            </w:r>
          </w:p>
        </w:tc>
      </w:tr>
    </w:tbl>
    <w:p w:rsidR="002B54AB" w:rsidRDefault="002B54AB" w:rsidP="002B54AB">
      <w:pPr>
        <w:jc w:val="both"/>
        <w:rPr>
          <w:sz w:val="26"/>
          <w:szCs w:val="26"/>
        </w:rPr>
      </w:pPr>
    </w:p>
    <w:p w:rsidR="002B54AB" w:rsidRDefault="002B54AB" w:rsidP="002B54AB">
      <w:pPr>
        <w:ind w:firstLine="1560"/>
        <w:jc w:val="both"/>
        <w:rPr>
          <w:sz w:val="26"/>
          <w:szCs w:val="26"/>
        </w:rPr>
      </w:pPr>
    </w:p>
    <w:p w:rsidR="00537B19" w:rsidRDefault="002B54AB" w:rsidP="002B54AB">
      <w:pPr>
        <w:ind w:firstLine="1560"/>
        <w:jc w:val="both"/>
        <w:rPr>
          <w:sz w:val="26"/>
          <w:szCs w:val="26"/>
        </w:rPr>
      </w:pPr>
      <w:r>
        <w:rPr>
          <w:sz w:val="26"/>
          <w:szCs w:val="26"/>
        </w:rPr>
        <w:t xml:space="preserve">A figura </w:t>
      </w:r>
      <w:r w:rsidR="00DF4EF6">
        <w:rPr>
          <w:sz w:val="26"/>
          <w:szCs w:val="26"/>
        </w:rPr>
        <w:t>9</w:t>
      </w:r>
      <w:r w:rsidR="001E687D">
        <w:rPr>
          <w:sz w:val="26"/>
          <w:szCs w:val="26"/>
        </w:rPr>
        <w:t xml:space="preserve"> </w:t>
      </w:r>
      <w:r>
        <w:rPr>
          <w:sz w:val="26"/>
          <w:szCs w:val="26"/>
        </w:rPr>
        <w:t>a seguir, ilustra a variação entre as ferrovias eleitas pelos dois programas de investimento em logística pelo Governo Dilma. Nota-se que enquanto parte da primeira seleção de ferrovias, PIL 1, estava inserida na malha das concessionárias estabelecidas na década de 1990, abrangendo regiões servidas notadamente pela América Latina Logística (ALL) e Ferrovia Centro-Atlântica (FCA), a segunda seleção, PIL 2, concentrou-se em trechos ainda não explorados por concessionárias pré-estabelecidas, a exceção do trecho entre Vitória e Rio de Janeiro, que foi originalmente concedido à FCA.</w:t>
      </w:r>
      <w:r w:rsidR="00537B19">
        <w:rPr>
          <w:sz w:val="26"/>
          <w:szCs w:val="26"/>
        </w:rPr>
        <w:t xml:space="preserve"> </w:t>
      </w:r>
    </w:p>
    <w:p w:rsidR="00033D16" w:rsidRDefault="00033D16" w:rsidP="00033D16">
      <w:pPr>
        <w:ind w:firstLine="1560"/>
        <w:jc w:val="both"/>
        <w:rPr>
          <w:sz w:val="26"/>
          <w:szCs w:val="26"/>
        </w:rPr>
      </w:pPr>
      <w:r>
        <w:rPr>
          <w:sz w:val="26"/>
          <w:szCs w:val="26"/>
        </w:rPr>
        <w:t xml:space="preserve">As indefinições e falta de objetividade do Governo quanto ao planejamento ferroviário contribuíram para a perda de oportunidades de investimento, como por exemplo, a linha do ferroanel de São Paulo, que estava presente no PIL1 e foi descartado no PIL2. Essa linha poderia estar sendo construída conjuntamente com o ramal norte do rodoanel de São Paulo, com menores custos de construção, já que os custos de terraplenagem e obras de arte especiais poderiam ser compartilhados se a rodovia e ferrovia fossem construídas concomitantemente. </w:t>
      </w:r>
    </w:p>
    <w:p w:rsidR="00033D16" w:rsidRDefault="00033D16" w:rsidP="00033D16">
      <w:pPr>
        <w:ind w:firstLine="1560"/>
        <w:jc w:val="both"/>
        <w:rPr>
          <w:i/>
          <w:sz w:val="26"/>
          <w:szCs w:val="26"/>
        </w:rPr>
      </w:pPr>
      <w:r>
        <w:rPr>
          <w:sz w:val="26"/>
          <w:szCs w:val="26"/>
        </w:rPr>
        <w:t>Ademais, a falta de clareza no planejamento do setor ferroviário tem gerado insegurança no mercado</w:t>
      </w:r>
      <w:r w:rsidR="00E65263">
        <w:rPr>
          <w:sz w:val="26"/>
          <w:szCs w:val="26"/>
        </w:rPr>
        <w:t>,</w:t>
      </w:r>
      <w:r>
        <w:rPr>
          <w:sz w:val="26"/>
          <w:szCs w:val="26"/>
        </w:rPr>
        <w:t xml:space="preserve"> inviabilizando investimentos privados. </w:t>
      </w:r>
      <w:r w:rsidR="00E65263">
        <w:rPr>
          <w:sz w:val="26"/>
          <w:szCs w:val="26"/>
        </w:rPr>
        <w:t xml:space="preserve">Como foi bem expresso em revista especializada: </w:t>
      </w:r>
      <w:r w:rsidRPr="00537B19">
        <w:rPr>
          <w:i/>
          <w:sz w:val="26"/>
          <w:szCs w:val="26"/>
        </w:rPr>
        <w:t>Ninguém espera bons ventos para a economia brasileira neste ano de 2015. Não pode ser diferente entre os agentes do setor ferroviário. O governo já sinalizou, de novo, que vai mesmo rever as concessões. O que pode até não acontecer, por absoluta falta de articulação dentro do próprio governo. Mas a simples reafirmação do que já está virando notícia velha é suficiente para agravar a paralisia dos investimentos e botar os operadores numa posição ainda maior de recuo estratégico. Quem vai investir sem saber quais serão as regras?</w:t>
      </w:r>
      <w:r>
        <w:rPr>
          <w:rStyle w:val="Refdenotaderodap"/>
          <w:i/>
          <w:sz w:val="26"/>
          <w:szCs w:val="26"/>
        </w:rPr>
        <w:footnoteReference w:id="10"/>
      </w:r>
    </w:p>
    <w:p w:rsidR="00B77F36" w:rsidRDefault="00B77F36" w:rsidP="00537B19">
      <w:pPr>
        <w:ind w:firstLine="1560"/>
        <w:jc w:val="both"/>
        <w:rPr>
          <w:sz w:val="26"/>
          <w:szCs w:val="26"/>
        </w:rPr>
      </w:pPr>
    </w:p>
    <w:p w:rsidR="002B54AB" w:rsidRDefault="004C3BEA" w:rsidP="002B54AB">
      <w:pPr>
        <w:keepNext/>
        <w:spacing w:after="360"/>
        <w:jc w:val="both"/>
      </w:pPr>
      <w:r>
        <w:rPr>
          <w:noProof/>
          <w:sz w:val="26"/>
          <w:szCs w:val="26"/>
        </w:rPr>
        <w:drawing>
          <wp:inline distT="0" distB="0" distL="0" distR="0">
            <wp:extent cx="5591175" cy="4162425"/>
            <wp:effectExtent l="0" t="0" r="9525" b="9525"/>
            <wp:docPr id="8" name="Imagem 8" descr="Ferrov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rovias"/>
                    <pic:cNvPicPr>
                      <a:picLocks noChangeAspect="1" noChangeArrowheads="1"/>
                    </pic:cNvPicPr>
                  </pic:nvPicPr>
                  <pic:blipFill>
                    <a:blip r:embed="rId18">
                      <a:extLst>
                        <a:ext uri="{28A0092B-C50C-407E-A947-70E740481C1C}">
                          <a14:useLocalDpi xmlns:a14="http://schemas.microsoft.com/office/drawing/2010/main" val="0"/>
                        </a:ext>
                      </a:extLst>
                    </a:blip>
                    <a:srcRect r="18336"/>
                    <a:stretch>
                      <a:fillRect/>
                    </a:stretch>
                  </pic:blipFill>
                  <pic:spPr bwMode="auto">
                    <a:xfrm>
                      <a:off x="0" y="0"/>
                      <a:ext cx="5591175" cy="4162425"/>
                    </a:xfrm>
                    <a:prstGeom prst="rect">
                      <a:avLst/>
                    </a:prstGeom>
                    <a:noFill/>
                    <a:ln>
                      <a:noFill/>
                    </a:ln>
                  </pic:spPr>
                </pic:pic>
              </a:graphicData>
            </a:graphic>
          </wp:inline>
        </w:drawing>
      </w:r>
    </w:p>
    <w:p w:rsidR="002B54AB" w:rsidRPr="002B54AB" w:rsidRDefault="002B54AB" w:rsidP="002B54AB">
      <w:pPr>
        <w:pStyle w:val="Legenda"/>
        <w:jc w:val="both"/>
        <w:rPr>
          <w:sz w:val="26"/>
          <w:szCs w:val="26"/>
        </w:rPr>
      </w:pPr>
      <w:r>
        <w:t xml:space="preserve">Figura </w:t>
      </w:r>
      <w:fldSimple w:instr=" SEQ Figura \* ARABIC ">
        <w:r w:rsidR="00780B83">
          <w:rPr>
            <w:noProof/>
          </w:rPr>
          <w:t>9</w:t>
        </w:r>
      </w:fldSimple>
      <w:r>
        <w:t xml:space="preserve"> - Malha ferroviária dos Programas de Investimento em Logística</w:t>
      </w:r>
    </w:p>
    <w:p w:rsidR="002B54AB" w:rsidRDefault="002B54AB" w:rsidP="009A6C80">
      <w:pPr>
        <w:spacing w:after="360"/>
        <w:ind w:firstLine="1418"/>
        <w:jc w:val="both"/>
        <w:rPr>
          <w:sz w:val="26"/>
          <w:szCs w:val="26"/>
        </w:rPr>
      </w:pPr>
    </w:p>
    <w:p w:rsidR="00F3293F" w:rsidRDefault="009A6C80" w:rsidP="009A6C80">
      <w:pPr>
        <w:spacing w:after="360"/>
        <w:ind w:firstLine="1418"/>
        <w:jc w:val="both"/>
        <w:rPr>
          <w:sz w:val="26"/>
          <w:szCs w:val="26"/>
        </w:rPr>
      </w:pPr>
      <w:r w:rsidRPr="000476A7">
        <w:rPr>
          <w:sz w:val="26"/>
          <w:szCs w:val="26"/>
        </w:rPr>
        <w:t xml:space="preserve">A </w:t>
      </w:r>
      <w:r w:rsidR="00033D16">
        <w:rPr>
          <w:sz w:val="26"/>
          <w:szCs w:val="26"/>
        </w:rPr>
        <w:t>tabela 9</w:t>
      </w:r>
      <w:r w:rsidRPr="000476A7">
        <w:rPr>
          <w:sz w:val="26"/>
          <w:szCs w:val="26"/>
        </w:rPr>
        <w:t xml:space="preserve"> ilustra a posição </w:t>
      </w:r>
      <w:r w:rsidR="008B4EA0" w:rsidRPr="000476A7">
        <w:rPr>
          <w:sz w:val="26"/>
          <w:szCs w:val="26"/>
        </w:rPr>
        <w:t xml:space="preserve">relativa </w:t>
      </w:r>
      <w:r w:rsidRPr="000476A7">
        <w:rPr>
          <w:sz w:val="26"/>
          <w:szCs w:val="26"/>
        </w:rPr>
        <w:t xml:space="preserve">dos EUA, Chile e Argentina mais os países do BRICS no </w:t>
      </w:r>
      <w:r w:rsidRPr="000476A7">
        <w:rPr>
          <w:i/>
          <w:sz w:val="26"/>
          <w:szCs w:val="26"/>
        </w:rPr>
        <w:t>ranking</w:t>
      </w:r>
      <w:r w:rsidRPr="000476A7">
        <w:rPr>
          <w:sz w:val="26"/>
          <w:szCs w:val="26"/>
        </w:rPr>
        <w:t xml:space="preserve"> do </w:t>
      </w:r>
      <w:r w:rsidRPr="000476A7">
        <w:rPr>
          <w:i/>
          <w:sz w:val="26"/>
          <w:szCs w:val="26"/>
        </w:rPr>
        <w:t>World Econ</w:t>
      </w:r>
      <w:r w:rsidR="00412692" w:rsidRPr="000476A7">
        <w:rPr>
          <w:i/>
          <w:sz w:val="26"/>
          <w:szCs w:val="26"/>
        </w:rPr>
        <w:t>o</w:t>
      </w:r>
      <w:r w:rsidRPr="000476A7">
        <w:rPr>
          <w:i/>
          <w:sz w:val="26"/>
          <w:szCs w:val="26"/>
        </w:rPr>
        <w:t xml:space="preserve">mic Forum </w:t>
      </w:r>
      <w:r w:rsidRPr="000476A7">
        <w:rPr>
          <w:sz w:val="26"/>
          <w:szCs w:val="26"/>
        </w:rPr>
        <w:t>desde a avaliação do biênio 2008-2009 até a avaliação</w:t>
      </w:r>
      <w:r w:rsidRPr="000476A7">
        <w:rPr>
          <w:i/>
          <w:sz w:val="26"/>
          <w:szCs w:val="26"/>
        </w:rPr>
        <w:t xml:space="preserve"> </w:t>
      </w:r>
      <w:r w:rsidRPr="000476A7">
        <w:rPr>
          <w:sz w:val="26"/>
          <w:szCs w:val="26"/>
        </w:rPr>
        <w:t xml:space="preserve">do biênio 2014-2015. </w:t>
      </w:r>
      <w:r w:rsidR="008B4EA0" w:rsidRPr="000476A7">
        <w:rPr>
          <w:sz w:val="26"/>
          <w:szCs w:val="26"/>
        </w:rPr>
        <w:t>E, a</w:t>
      </w:r>
      <w:r w:rsidR="004E2558" w:rsidRPr="000476A7">
        <w:rPr>
          <w:sz w:val="26"/>
          <w:szCs w:val="26"/>
        </w:rPr>
        <w:t xml:space="preserve"> tabela </w:t>
      </w:r>
      <w:r w:rsidR="00D11544">
        <w:rPr>
          <w:sz w:val="26"/>
          <w:szCs w:val="26"/>
        </w:rPr>
        <w:t>9</w:t>
      </w:r>
      <w:r w:rsidR="004E2558" w:rsidRPr="000476A7">
        <w:rPr>
          <w:sz w:val="26"/>
          <w:szCs w:val="26"/>
        </w:rPr>
        <w:t xml:space="preserve"> ilustra as posições de cada um dos países citados, bem como o número de países avaliados em cada biênio</w:t>
      </w:r>
      <w:r w:rsidR="001B4CB0" w:rsidRPr="000476A7">
        <w:rPr>
          <w:sz w:val="26"/>
          <w:szCs w:val="26"/>
        </w:rPr>
        <w:t>, desta feita para infraestrutura ferroviária</w:t>
      </w:r>
      <w:r w:rsidR="004E2558" w:rsidRPr="000476A7">
        <w:rPr>
          <w:sz w:val="26"/>
          <w:szCs w:val="26"/>
        </w:rPr>
        <w:t>.</w:t>
      </w:r>
    </w:p>
    <w:p w:rsidR="002B54AB" w:rsidRPr="000476A7" w:rsidRDefault="002B54AB" w:rsidP="009A6C80">
      <w:pPr>
        <w:spacing w:after="360"/>
        <w:ind w:firstLine="1418"/>
        <w:jc w:val="both"/>
        <w:rPr>
          <w:sz w:val="26"/>
          <w:szCs w:val="26"/>
        </w:rPr>
      </w:pPr>
      <w:r>
        <w:rPr>
          <w:sz w:val="26"/>
          <w:szCs w:val="26"/>
        </w:rPr>
        <w:t>Mesmo que integralmente implantados quaisquer das versões do PIL-Ferrovias, a malha ferroviária brasileira ainda seria modesta para a dimensão continental do país. A malha ferroviária americana possui cerca de 220 mil km, a russa 87 mil km, a chinesa 86 mil km e a argentina 37 mil km de trilhos. Quando a qualidade da infraestrutura ferroviária como um todo é analisada, o Brasil ocupa posição deficitária no rol de nações avaliadas pelo ranking de competitividade do Fórum Econômico Mundial</w:t>
      </w:r>
      <w:r w:rsidR="00D11544">
        <w:rPr>
          <w:sz w:val="26"/>
          <w:szCs w:val="26"/>
        </w:rPr>
        <w:t>.</w:t>
      </w:r>
    </w:p>
    <w:p w:rsidR="009A6C80" w:rsidRPr="001E687D" w:rsidRDefault="009A6C80" w:rsidP="009A6C80">
      <w:pPr>
        <w:pStyle w:val="Legenda"/>
        <w:keepNext/>
      </w:pPr>
    </w:p>
    <w:p w:rsidR="001E687D" w:rsidRDefault="001E687D" w:rsidP="001E687D">
      <w:pPr>
        <w:pStyle w:val="Legenda"/>
        <w:keepNext/>
      </w:pPr>
      <w:r>
        <w:t xml:space="preserve">Tabela </w:t>
      </w:r>
      <w:fldSimple w:instr=" SEQ Tabela \* ARABIC ">
        <w:r w:rsidR="00780B83">
          <w:rPr>
            <w:noProof/>
          </w:rPr>
          <w:t>9</w:t>
        </w:r>
      </w:fldSimple>
      <w:r w:rsidRPr="001E687D">
        <w:t xml:space="preserve">- Ranking da Qualidade da Infraestrutura Ferroviária - BRICS, Argentina, Chile e EUA, </w:t>
      </w:r>
      <w:r w:rsidRPr="001E687D">
        <w:rPr>
          <w:noProof/>
        </w:rPr>
        <w:t>2008 a 2015</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032"/>
        <w:gridCol w:w="1033"/>
        <w:gridCol w:w="1033"/>
        <w:gridCol w:w="1032"/>
        <w:gridCol w:w="1033"/>
        <w:gridCol w:w="1033"/>
        <w:gridCol w:w="1033"/>
      </w:tblGrid>
      <w:tr w:rsidR="003B3DCA" w:rsidRPr="001E687D" w:rsidTr="003B3DCA">
        <w:trPr>
          <w:trHeight w:val="300"/>
        </w:trPr>
        <w:tc>
          <w:tcPr>
            <w:tcW w:w="1560" w:type="dxa"/>
            <w:shd w:val="clear" w:color="auto" w:fill="auto"/>
            <w:noWrap/>
            <w:vAlign w:val="bottom"/>
            <w:hideMark/>
          </w:tcPr>
          <w:p w:rsidR="003B3DCA" w:rsidRPr="001E687D" w:rsidRDefault="003B3DCA" w:rsidP="003B3DCA">
            <w:pPr>
              <w:rPr>
                <w:sz w:val="20"/>
                <w:szCs w:val="20"/>
              </w:rPr>
            </w:pPr>
            <w:r w:rsidRPr="001E687D">
              <w:rPr>
                <w:sz w:val="20"/>
                <w:szCs w:val="20"/>
              </w:rPr>
              <w:t xml:space="preserve">Ranking – Qualidade da Infraestrutura </w:t>
            </w:r>
          </w:p>
          <w:p w:rsidR="003B3DCA" w:rsidRPr="001E687D" w:rsidRDefault="003B3DCA" w:rsidP="003B3DCA">
            <w:pPr>
              <w:rPr>
                <w:sz w:val="20"/>
                <w:szCs w:val="20"/>
              </w:rPr>
            </w:pPr>
            <w:r w:rsidRPr="001E687D">
              <w:rPr>
                <w:sz w:val="20"/>
                <w:szCs w:val="20"/>
              </w:rPr>
              <w:t>Ferroviária</w:t>
            </w:r>
          </w:p>
        </w:tc>
        <w:tc>
          <w:tcPr>
            <w:tcW w:w="1032"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2008-2009</w:t>
            </w:r>
          </w:p>
          <w:p w:rsidR="003B3DCA" w:rsidRPr="001E687D" w:rsidRDefault="003B3DCA" w:rsidP="003B3DCA">
            <w:pPr>
              <w:jc w:val="center"/>
              <w:rPr>
                <w:b/>
                <w:sz w:val="20"/>
                <w:szCs w:val="20"/>
              </w:rPr>
            </w:pPr>
            <w:r w:rsidRPr="001E687D">
              <w:rPr>
                <w:b/>
                <w:sz w:val="20"/>
                <w:szCs w:val="20"/>
              </w:rPr>
              <w:t>(134)</w:t>
            </w:r>
          </w:p>
        </w:tc>
        <w:tc>
          <w:tcPr>
            <w:tcW w:w="1033"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2009-2010</w:t>
            </w:r>
          </w:p>
          <w:p w:rsidR="003B3DCA" w:rsidRPr="001E687D" w:rsidRDefault="003B3DCA" w:rsidP="003B3DCA">
            <w:pPr>
              <w:jc w:val="center"/>
              <w:rPr>
                <w:b/>
                <w:sz w:val="20"/>
                <w:szCs w:val="20"/>
              </w:rPr>
            </w:pPr>
            <w:r w:rsidRPr="001E687D">
              <w:rPr>
                <w:b/>
                <w:sz w:val="20"/>
                <w:szCs w:val="20"/>
              </w:rPr>
              <w:t>(133)</w:t>
            </w:r>
          </w:p>
        </w:tc>
        <w:tc>
          <w:tcPr>
            <w:tcW w:w="1033"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2010-2011</w:t>
            </w:r>
          </w:p>
          <w:p w:rsidR="003B3DCA" w:rsidRPr="001E687D" w:rsidRDefault="003B3DCA" w:rsidP="003B3DCA">
            <w:pPr>
              <w:jc w:val="center"/>
              <w:rPr>
                <w:b/>
                <w:sz w:val="20"/>
                <w:szCs w:val="20"/>
              </w:rPr>
            </w:pPr>
            <w:r w:rsidRPr="001E687D">
              <w:rPr>
                <w:b/>
                <w:sz w:val="20"/>
                <w:szCs w:val="20"/>
              </w:rPr>
              <w:t>(139)</w:t>
            </w:r>
          </w:p>
        </w:tc>
        <w:tc>
          <w:tcPr>
            <w:tcW w:w="1032"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2011-2012</w:t>
            </w:r>
          </w:p>
          <w:p w:rsidR="003B3DCA" w:rsidRPr="001E687D" w:rsidRDefault="003B3DCA" w:rsidP="003B3DCA">
            <w:pPr>
              <w:jc w:val="center"/>
              <w:rPr>
                <w:b/>
                <w:sz w:val="20"/>
                <w:szCs w:val="20"/>
              </w:rPr>
            </w:pPr>
            <w:r w:rsidRPr="001E687D">
              <w:rPr>
                <w:b/>
                <w:sz w:val="20"/>
                <w:szCs w:val="20"/>
              </w:rPr>
              <w:t>(142)</w:t>
            </w:r>
          </w:p>
        </w:tc>
        <w:tc>
          <w:tcPr>
            <w:tcW w:w="1033"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2012-2013</w:t>
            </w:r>
          </w:p>
          <w:p w:rsidR="003B3DCA" w:rsidRPr="001E687D" w:rsidRDefault="003B3DCA" w:rsidP="003B3DCA">
            <w:pPr>
              <w:jc w:val="center"/>
              <w:rPr>
                <w:b/>
                <w:sz w:val="20"/>
                <w:szCs w:val="20"/>
              </w:rPr>
            </w:pPr>
            <w:r w:rsidRPr="001E687D">
              <w:rPr>
                <w:b/>
                <w:sz w:val="20"/>
                <w:szCs w:val="20"/>
              </w:rPr>
              <w:t>(144)</w:t>
            </w:r>
          </w:p>
        </w:tc>
        <w:tc>
          <w:tcPr>
            <w:tcW w:w="1033"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2013-2014</w:t>
            </w:r>
          </w:p>
          <w:p w:rsidR="003B3DCA" w:rsidRPr="001E687D" w:rsidRDefault="003B3DCA" w:rsidP="003B3DCA">
            <w:pPr>
              <w:jc w:val="center"/>
              <w:rPr>
                <w:b/>
                <w:sz w:val="20"/>
                <w:szCs w:val="20"/>
              </w:rPr>
            </w:pPr>
            <w:r w:rsidRPr="001E687D">
              <w:rPr>
                <w:b/>
                <w:sz w:val="20"/>
                <w:szCs w:val="20"/>
              </w:rPr>
              <w:t>(148)</w:t>
            </w:r>
          </w:p>
        </w:tc>
        <w:tc>
          <w:tcPr>
            <w:tcW w:w="1033" w:type="dxa"/>
            <w:shd w:val="clear" w:color="auto" w:fill="auto"/>
            <w:noWrap/>
            <w:vAlign w:val="center"/>
            <w:hideMark/>
          </w:tcPr>
          <w:p w:rsidR="003B3DCA" w:rsidRPr="001E687D" w:rsidRDefault="003B3DCA" w:rsidP="003B3DCA">
            <w:pPr>
              <w:jc w:val="center"/>
              <w:rPr>
                <w:b/>
                <w:sz w:val="20"/>
                <w:szCs w:val="20"/>
              </w:rPr>
            </w:pPr>
            <w:r w:rsidRPr="001E687D">
              <w:rPr>
                <w:b/>
                <w:sz w:val="20"/>
                <w:szCs w:val="20"/>
              </w:rPr>
              <w:t>2014-2015</w:t>
            </w:r>
          </w:p>
          <w:p w:rsidR="003B3DCA" w:rsidRPr="001E687D" w:rsidRDefault="003B3DCA" w:rsidP="003B3DCA">
            <w:pPr>
              <w:jc w:val="center"/>
              <w:rPr>
                <w:b/>
                <w:sz w:val="20"/>
                <w:szCs w:val="20"/>
              </w:rPr>
            </w:pPr>
            <w:r w:rsidRPr="001E687D">
              <w:rPr>
                <w:b/>
                <w:sz w:val="20"/>
                <w:szCs w:val="20"/>
              </w:rPr>
              <w:t>(144)</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EUA</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16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17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18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18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17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15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China</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28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27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27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21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22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17 º</w:t>
            </w:r>
          </w:p>
        </w:tc>
      </w:tr>
      <w:tr w:rsidR="003B3DCA" w:rsidRPr="001E687D" w:rsidTr="003B3DCA">
        <w:trPr>
          <w:trHeight w:val="300"/>
        </w:trPr>
        <w:tc>
          <w:tcPr>
            <w:tcW w:w="1560" w:type="dxa"/>
            <w:shd w:val="clear" w:color="auto" w:fill="auto"/>
            <w:noWrap/>
            <w:vAlign w:val="bottom"/>
            <w:hideMark/>
          </w:tcPr>
          <w:p w:rsidR="003B3DCA" w:rsidRPr="001E687D" w:rsidRDefault="003B3DCA" w:rsidP="003B3DCA">
            <w:pPr>
              <w:rPr>
                <w:sz w:val="20"/>
                <w:szCs w:val="20"/>
              </w:rPr>
            </w:pPr>
            <w:r w:rsidRPr="001E687D">
              <w:rPr>
                <w:sz w:val="20"/>
                <w:szCs w:val="20"/>
              </w:rPr>
              <w:t>Rússia</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32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33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31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29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30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31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26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Índia</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21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23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24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27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19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27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África do Sul</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37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40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47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46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46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48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44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Chile</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73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76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77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82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64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65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73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Brasil</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86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86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87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91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100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103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95 º</w:t>
            </w:r>
          </w:p>
        </w:tc>
      </w:tr>
      <w:tr w:rsidR="003B3DCA" w:rsidRPr="001E687D" w:rsidTr="003B3DCA">
        <w:trPr>
          <w:trHeight w:val="300"/>
        </w:trPr>
        <w:tc>
          <w:tcPr>
            <w:tcW w:w="1560" w:type="dxa"/>
            <w:shd w:val="clear" w:color="auto" w:fill="auto"/>
            <w:noWrap/>
            <w:vAlign w:val="bottom"/>
            <w:hideMark/>
          </w:tcPr>
          <w:p w:rsidR="003B3DCA" w:rsidRPr="001E687D" w:rsidRDefault="003B3DCA">
            <w:pPr>
              <w:rPr>
                <w:sz w:val="20"/>
                <w:szCs w:val="20"/>
              </w:rPr>
            </w:pPr>
            <w:r w:rsidRPr="001E687D">
              <w:rPr>
                <w:sz w:val="20"/>
                <w:szCs w:val="20"/>
              </w:rPr>
              <w:t>Argentina</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76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78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82 º</w:t>
            </w:r>
          </w:p>
        </w:tc>
        <w:tc>
          <w:tcPr>
            <w:tcW w:w="1032" w:type="dxa"/>
            <w:shd w:val="clear" w:color="auto" w:fill="auto"/>
            <w:noWrap/>
            <w:vAlign w:val="bottom"/>
            <w:hideMark/>
          </w:tcPr>
          <w:p w:rsidR="003B3DCA" w:rsidRPr="001E687D" w:rsidRDefault="003B3DCA" w:rsidP="003B3DCA">
            <w:pPr>
              <w:jc w:val="center"/>
              <w:rPr>
                <w:sz w:val="20"/>
                <w:szCs w:val="20"/>
              </w:rPr>
            </w:pPr>
            <w:r w:rsidRPr="001E687D">
              <w:rPr>
                <w:sz w:val="20"/>
                <w:szCs w:val="20"/>
              </w:rPr>
              <w:t>89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103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106 º</w:t>
            </w:r>
          </w:p>
        </w:tc>
        <w:tc>
          <w:tcPr>
            <w:tcW w:w="1033" w:type="dxa"/>
            <w:shd w:val="clear" w:color="auto" w:fill="auto"/>
            <w:noWrap/>
            <w:vAlign w:val="bottom"/>
            <w:hideMark/>
          </w:tcPr>
          <w:p w:rsidR="003B3DCA" w:rsidRPr="001E687D" w:rsidRDefault="003B3DCA" w:rsidP="003B3DCA">
            <w:pPr>
              <w:jc w:val="center"/>
              <w:rPr>
                <w:sz w:val="20"/>
                <w:szCs w:val="20"/>
              </w:rPr>
            </w:pPr>
            <w:r w:rsidRPr="001E687D">
              <w:rPr>
                <w:sz w:val="20"/>
                <w:szCs w:val="20"/>
              </w:rPr>
              <w:t>96 º</w:t>
            </w:r>
          </w:p>
        </w:tc>
      </w:tr>
    </w:tbl>
    <w:p w:rsidR="00E33BE0" w:rsidRPr="00E33BE0" w:rsidRDefault="00E33BE0" w:rsidP="00E33BE0">
      <w:pPr>
        <w:spacing w:after="360"/>
        <w:ind w:firstLine="1418"/>
        <w:jc w:val="both"/>
        <w:rPr>
          <w:sz w:val="26"/>
          <w:szCs w:val="26"/>
        </w:rPr>
      </w:pPr>
    </w:p>
    <w:p w:rsidR="00E33BE0" w:rsidRDefault="00E33BE0" w:rsidP="00E33BE0">
      <w:pPr>
        <w:spacing w:after="360"/>
        <w:ind w:firstLine="1418"/>
        <w:jc w:val="both"/>
        <w:rPr>
          <w:sz w:val="26"/>
          <w:szCs w:val="26"/>
        </w:rPr>
      </w:pPr>
    </w:p>
    <w:p w:rsidR="00C570F2" w:rsidRPr="000476A7" w:rsidRDefault="008E1546" w:rsidP="00C570F2">
      <w:pPr>
        <w:pStyle w:val="Ttulo0"/>
        <w:rPr>
          <w:sz w:val="26"/>
          <w:szCs w:val="26"/>
        </w:rPr>
      </w:pPr>
      <w:bookmarkStart w:id="13" w:name="_Toc442974382"/>
      <w:r>
        <w:rPr>
          <w:sz w:val="26"/>
          <w:szCs w:val="26"/>
        </w:rPr>
        <w:t>3</w:t>
      </w:r>
      <w:r w:rsidR="00E65B64" w:rsidRPr="000476A7">
        <w:rPr>
          <w:sz w:val="26"/>
          <w:szCs w:val="26"/>
        </w:rPr>
        <w:t>.2</w:t>
      </w:r>
      <w:r w:rsidR="00C570F2" w:rsidRPr="000476A7">
        <w:rPr>
          <w:sz w:val="26"/>
          <w:szCs w:val="26"/>
        </w:rPr>
        <w:t>.3 Qualidade Da Infraestrutura Portuária</w:t>
      </w:r>
      <w:bookmarkEnd w:id="13"/>
      <w:r w:rsidR="00C570F2" w:rsidRPr="000476A7">
        <w:rPr>
          <w:sz w:val="26"/>
          <w:szCs w:val="26"/>
        </w:rPr>
        <w:t xml:space="preserve"> </w:t>
      </w:r>
    </w:p>
    <w:p w:rsidR="00934A4A" w:rsidRDefault="008F24B9" w:rsidP="00B454E3">
      <w:pPr>
        <w:spacing w:after="360"/>
        <w:ind w:firstLine="1418"/>
        <w:jc w:val="both"/>
        <w:rPr>
          <w:sz w:val="26"/>
          <w:szCs w:val="26"/>
        </w:rPr>
      </w:pPr>
      <w:r>
        <w:rPr>
          <w:sz w:val="26"/>
          <w:szCs w:val="26"/>
        </w:rPr>
        <w:t>O investimento no setor portu</w:t>
      </w:r>
      <w:r w:rsidR="00934A4A">
        <w:rPr>
          <w:sz w:val="26"/>
          <w:szCs w:val="26"/>
        </w:rPr>
        <w:t>ário</w:t>
      </w:r>
      <w:r>
        <w:rPr>
          <w:sz w:val="26"/>
          <w:szCs w:val="26"/>
        </w:rPr>
        <w:t xml:space="preserve"> </w:t>
      </w:r>
      <w:r w:rsidR="00934A4A">
        <w:rPr>
          <w:sz w:val="26"/>
          <w:szCs w:val="26"/>
        </w:rPr>
        <w:t>sofreu seguidos adiamentos nos últimos anos. O PIL lançado em 2012 previa um investimento privado de R$ 54,2</w:t>
      </w:r>
      <w:r>
        <w:rPr>
          <w:sz w:val="26"/>
          <w:szCs w:val="26"/>
        </w:rPr>
        <w:t xml:space="preserve"> </w:t>
      </w:r>
      <w:r w:rsidR="00934A4A">
        <w:rPr>
          <w:sz w:val="26"/>
          <w:szCs w:val="26"/>
        </w:rPr>
        <w:t>bilhões. Passados 3 anos, na época do lançamento de uma nova fase do PIL, o balanço era de que apenas haviam sido viabilizados investimentos de R$ 11,1 bilhões, ainda assim contabilizando o valor de R$ 8,4 bilhões ainda não executados, de terminais já autorizados. A nova fase do PIL lançada em 2015, em que boa parte eram obras já prometidas em 2012, projetava um valor ainda menor, de R$ 37,4 bilhões, considerando novos arrendamentos, novos Terminais de Uso Privado e renovações de arrendamento.</w:t>
      </w:r>
    </w:p>
    <w:p w:rsidR="005402D2" w:rsidRDefault="00934A4A" w:rsidP="00B454E3">
      <w:pPr>
        <w:spacing w:after="360"/>
        <w:ind w:firstLine="1418"/>
        <w:jc w:val="both"/>
        <w:rPr>
          <w:sz w:val="26"/>
          <w:szCs w:val="26"/>
        </w:rPr>
      </w:pPr>
      <w:r>
        <w:rPr>
          <w:sz w:val="26"/>
          <w:szCs w:val="26"/>
        </w:rPr>
        <w:t xml:space="preserve">A </w:t>
      </w:r>
      <w:r w:rsidR="00033D16">
        <w:rPr>
          <w:sz w:val="26"/>
          <w:szCs w:val="26"/>
        </w:rPr>
        <w:t>tabela 10</w:t>
      </w:r>
      <w:r w:rsidR="005402D2" w:rsidRPr="000476A7">
        <w:rPr>
          <w:sz w:val="26"/>
          <w:szCs w:val="26"/>
        </w:rPr>
        <w:t xml:space="preserve"> ilustra a posição relativa dos EUA, Chile e Argentina mais os países do BRICS no ranking do </w:t>
      </w:r>
      <w:r w:rsidR="005402D2" w:rsidRPr="000476A7">
        <w:rPr>
          <w:i/>
          <w:sz w:val="26"/>
          <w:szCs w:val="26"/>
        </w:rPr>
        <w:t>World Economic Forum</w:t>
      </w:r>
      <w:r w:rsidR="005402D2" w:rsidRPr="000476A7">
        <w:rPr>
          <w:sz w:val="26"/>
          <w:szCs w:val="26"/>
        </w:rPr>
        <w:t xml:space="preserve"> desde a avaliação do biênio 2008-2009 até a avaliação do biênio 2014-2015. E, na tabela 6 ilustra as posições de cada um dos países citados, bem como o número de países avaliados em cada biênio, desta feita para infraestrutura portuária.</w:t>
      </w:r>
    </w:p>
    <w:p w:rsidR="006C09E4" w:rsidRPr="000476A7" w:rsidRDefault="006C09E4" w:rsidP="00B454E3">
      <w:pPr>
        <w:spacing w:after="360"/>
        <w:ind w:firstLine="1418"/>
        <w:jc w:val="both"/>
        <w:rPr>
          <w:sz w:val="26"/>
          <w:szCs w:val="26"/>
        </w:rPr>
      </w:pPr>
    </w:p>
    <w:p w:rsidR="001E687D" w:rsidRDefault="001E687D" w:rsidP="00D67704">
      <w:pPr>
        <w:pStyle w:val="Legenda"/>
        <w:keepNext/>
      </w:pPr>
    </w:p>
    <w:p w:rsidR="001E687D" w:rsidRPr="001E687D" w:rsidRDefault="001E687D" w:rsidP="001E687D">
      <w:pPr>
        <w:pStyle w:val="Legenda"/>
        <w:keepNext/>
      </w:pPr>
      <w:r>
        <w:t xml:space="preserve">Tabela </w:t>
      </w:r>
      <w:fldSimple w:instr=" SEQ Tabela \* ARABIC ">
        <w:r w:rsidR="00780B83">
          <w:rPr>
            <w:noProof/>
          </w:rPr>
          <w:t>10</w:t>
        </w:r>
      </w:fldSimple>
      <w:r>
        <w:t xml:space="preserve"> - </w:t>
      </w:r>
      <w:r w:rsidRPr="001E687D">
        <w:t xml:space="preserve">Ranking da Qualidade da Infraestrutura Portuária - BRICS, Argentina, Chile e EUA, </w:t>
      </w:r>
      <w:r w:rsidRPr="001E687D">
        <w:rPr>
          <w:noProof/>
        </w:rPr>
        <w:t>2008 a 2015</w:t>
      </w:r>
    </w:p>
    <w:p w:rsidR="001E687D" w:rsidRDefault="001E687D" w:rsidP="001E687D">
      <w:pPr>
        <w:pStyle w:val="Legenda"/>
        <w:keepNext/>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1032"/>
        <w:gridCol w:w="1033"/>
        <w:gridCol w:w="1033"/>
        <w:gridCol w:w="1032"/>
        <w:gridCol w:w="1033"/>
        <w:gridCol w:w="1033"/>
        <w:gridCol w:w="1033"/>
      </w:tblGrid>
      <w:tr w:rsidR="00C570F2" w:rsidRPr="001E687D" w:rsidTr="00C570F2">
        <w:trPr>
          <w:trHeight w:val="300"/>
        </w:trPr>
        <w:tc>
          <w:tcPr>
            <w:tcW w:w="1560" w:type="dxa"/>
            <w:shd w:val="clear" w:color="auto" w:fill="auto"/>
            <w:noWrap/>
            <w:vAlign w:val="bottom"/>
            <w:hideMark/>
          </w:tcPr>
          <w:p w:rsidR="00C570F2" w:rsidRPr="001E687D" w:rsidRDefault="00C570F2" w:rsidP="00C570F2">
            <w:pPr>
              <w:rPr>
                <w:sz w:val="20"/>
                <w:szCs w:val="20"/>
              </w:rPr>
            </w:pPr>
            <w:r w:rsidRPr="001E687D">
              <w:rPr>
                <w:sz w:val="20"/>
                <w:szCs w:val="20"/>
              </w:rPr>
              <w:t xml:space="preserve">Ranking – Qualidade da Infraestrutura </w:t>
            </w:r>
          </w:p>
          <w:p w:rsidR="00C570F2" w:rsidRPr="001E687D" w:rsidRDefault="00C570F2" w:rsidP="00C570F2">
            <w:pPr>
              <w:rPr>
                <w:sz w:val="20"/>
                <w:szCs w:val="20"/>
              </w:rPr>
            </w:pPr>
            <w:r w:rsidRPr="001E687D">
              <w:rPr>
                <w:sz w:val="20"/>
                <w:szCs w:val="20"/>
              </w:rPr>
              <w:t>Portuária</w:t>
            </w:r>
          </w:p>
        </w:tc>
        <w:tc>
          <w:tcPr>
            <w:tcW w:w="1032"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2008-2009</w:t>
            </w:r>
          </w:p>
          <w:p w:rsidR="00C570F2" w:rsidRPr="001E687D" w:rsidRDefault="00C570F2" w:rsidP="00C570F2">
            <w:pPr>
              <w:jc w:val="center"/>
              <w:rPr>
                <w:b/>
                <w:sz w:val="20"/>
                <w:szCs w:val="20"/>
              </w:rPr>
            </w:pPr>
            <w:r w:rsidRPr="001E687D">
              <w:rPr>
                <w:b/>
                <w:sz w:val="20"/>
                <w:szCs w:val="20"/>
              </w:rPr>
              <w:t>(134)</w:t>
            </w:r>
          </w:p>
        </w:tc>
        <w:tc>
          <w:tcPr>
            <w:tcW w:w="103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2009-2010</w:t>
            </w:r>
          </w:p>
          <w:p w:rsidR="00C570F2" w:rsidRPr="001E687D" w:rsidRDefault="00C570F2" w:rsidP="00C570F2">
            <w:pPr>
              <w:jc w:val="center"/>
              <w:rPr>
                <w:b/>
                <w:sz w:val="20"/>
                <w:szCs w:val="20"/>
              </w:rPr>
            </w:pPr>
            <w:r w:rsidRPr="001E687D">
              <w:rPr>
                <w:b/>
                <w:sz w:val="20"/>
                <w:szCs w:val="20"/>
              </w:rPr>
              <w:t>(133)</w:t>
            </w:r>
          </w:p>
        </w:tc>
        <w:tc>
          <w:tcPr>
            <w:tcW w:w="103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2010-2011</w:t>
            </w:r>
          </w:p>
          <w:p w:rsidR="00C570F2" w:rsidRPr="001E687D" w:rsidRDefault="00C570F2" w:rsidP="00C570F2">
            <w:pPr>
              <w:jc w:val="center"/>
              <w:rPr>
                <w:b/>
                <w:sz w:val="20"/>
                <w:szCs w:val="20"/>
              </w:rPr>
            </w:pPr>
            <w:r w:rsidRPr="001E687D">
              <w:rPr>
                <w:b/>
                <w:sz w:val="20"/>
                <w:szCs w:val="20"/>
              </w:rPr>
              <w:t>(139)</w:t>
            </w:r>
          </w:p>
        </w:tc>
        <w:tc>
          <w:tcPr>
            <w:tcW w:w="1032"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2011-2012</w:t>
            </w:r>
          </w:p>
          <w:p w:rsidR="00C570F2" w:rsidRPr="001E687D" w:rsidRDefault="00C570F2" w:rsidP="00C570F2">
            <w:pPr>
              <w:jc w:val="center"/>
              <w:rPr>
                <w:b/>
                <w:sz w:val="20"/>
                <w:szCs w:val="20"/>
              </w:rPr>
            </w:pPr>
            <w:r w:rsidRPr="001E687D">
              <w:rPr>
                <w:b/>
                <w:sz w:val="20"/>
                <w:szCs w:val="20"/>
              </w:rPr>
              <w:t>(142)</w:t>
            </w:r>
          </w:p>
        </w:tc>
        <w:tc>
          <w:tcPr>
            <w:tcW w:w="103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2012-2013</w:t>
            </w:r>
          </w:p>
          <w:p w:rsidR="00C570F2" w:rsidRPr="001E687D" w:rsidRDefault="00C570F2" w:rsidP="00C570F2">
            <w:pPr>
              <w:jc w:val="center"/>
              <w:rPr>
                <w:b/>
                <w:sz w:val="20"/>
                <w:szCs w:val="20"/>
              </w:rPr>
            </w:pPr>
            <w:r w:rsidRPr="001E687D">
              <w:rPr>
                <w:b/>
                <w:sz w:val="20"/>
                <w:szCs w:val="20"/>
              </w:rPr>
              <w:t>(144)</w:t>
            </w:r>
          </w:p>
        </w:tc>
        <w:tc>
          <w:tcPr>
            <w:tcW w:w="103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2013-2014</w:t>
            </w:r>
          </w:p>
          <w:p w:rsidR="00C570F2" w:rsidRPr="001E687D" w:rsidRDefault="00C570F2" w:rsidP="00C570F2">
            <w:pPr>
              <w:jc w:val="center"/>
              <w:rPr>
                <w:b/>
                <w:sz w:val="20"/>
                <w:szCs w:val="20"/>
              </w:rPr>
            </w:pPr>
            <w:r w:rsidRPr="001E687D">
              <w:rPr>
                <w:b/>
                <w:sz w:val="20"/>
                <w:szCs w:val="20"/>
              </w:rPr>
              <w:t>(148)</w:t>
            </w:r>
          </w:p>
        </w:tc>
        <w:tc>
          <w:tcPr>
            <w:tcW w:w="103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2014-2015</w:t>
            </w:r>
          </w:p>
          <w:p w:rsidR="00C570F2" w:rsidRPr="001E687D" w:rsidRDefault="00C570F2" w:rsidP="00C570F2">
            <w:pPr>
              <w:jc w:val="center"/>
              <w:rPr>
                <w:b/>
                <w:sz w:val="20"/>
                <w:szCs w:val="20"/>
              </w:rPr>
            </w:pPr>
            <w:r w:rsidRPr="001E687D">
              <w:rPr>
                <w:b/>
                <w:sz w:val="20"/>
                <w:szCs w:val="20"/>
              </w:rPr>
              <w:t>(144)</w:t>
            </w:r>
          </w:p>
        </w:tc>
      </w:tr>
      <w:tr w:rsidR="00C570F2" w:rsidRPr="001E687D" w:rsidTr="00C570F2">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EUA</w:t>
            </w:r>
          </w:p>
        </w:tc>
        <w:tc>
          <w:tcPr>
            <w:tcW w:w="1032" w:type="dxa"/>
            <w:shd w:val="clear" w:color="auto" w:fill="auto"/>
            <w:noWrap/>
            <w:hideMark/>
          </w:tcPr>
          <w:p w:rsidR="00C570F2" w:rsidRPr="001E687D" w:rsidRDefault="00C570F2" w:rsidP="00C570F2">
            <w:pPr>
              <w:rPr>
                <w:sz w:val="20"/>
                <w:szCs w:val="20"/>
              </w:rPr>
            </w:pPr>
            <w:r w:rsidRPr="001E687D">
              <w:rPr>
                <w:sz w:val="20"/>
                <w:szCs w:val="20"/>
              </w:rPr>
              <w:t>11º</w:t>
            </w:r>
          </w:p>
        </w:tc>
        <w:tc>
          <w:tcPr>
            <w:tcW w:w="1033" w:type="dxa"/>
            <w:shd w:val="clear" w:color="auto" w:fill="auto"/>
            <w:noWrap/>
            <w:hideMark/>
          </w:tcPr>
          <w:p w:rsidR="00C570F2" w:rsidRPr="001E687D" w:rsidRDefault="00C570F2" w:rsidP="00C570F2">
            <w:pPr>
              <w:rPr>
                <w:sz w:val="20"/>
                <w:szCs w:val="20"/>
              </w:rPr>
            </w:pPr>
            <w:r w:rsidRPr="001E687D">
              <w:rPr>
                <w:sz w:val="20"/>
                <w:szCs w:val="20"/>
              </w:rPr>
              <w:t>13 º</w:t>
            </w:r>
          </w:p>
        </w:tc>
        <w:tc>
          <w:tcPr>
            <w:tcW w:w="1033" w:type="dxa"/>
            <w:shd w:val="clear" w:color="auto" w:fill="auto"/>
            <w:noWrap/>
            <w:hideMark/>
          </w:tcPr>
          <w:p w:rsidR="00C570F2" w:rsidRPr="001E687D" w:rsidRDefault="00C570F2" w:rsidP="00C570F2">
            <w:pPr>
              <w:rPr>
                <w:sz w:val="20"/>
                <w:szCs w:val="20"/>
              </w:rPr>
            </w:pPr>
            <w:r w:rsidRPr="001E687D">
              <w:rPr>
                <w:sz w:val="20"/>
                <w:szCs w:val="20"/>
              </w:rPr>
              <w:t>22 º</w:t>
            </w:r>
          </w:p>
        </w:tc>
        <w:tc>
          <w:tcPr>
            <w:tcW w:w="1032" w:type="dxa"/>
            <w:shd w:val="clear" w:color="auto" w:fill="auto"/>
            <w:noWrap/>
            <w:hideMark/>
          </w:tcPr>
          <w:p w:rsidR="00C570F2" w:rsidRPr="001E687D" w:rsidRDefault="00C570F2" w:rsidP="00C570F2">
            <w:pPr>
              <w:rPr>
                <w:sz w:val="20"/>
                <w:szCs w:val="20"/>
              </w:rPr>
            </w:pPr>
            <w:r w:rsidRPr="001E687D">
              <w:rPr>
                <w:sz w:val="20"/>
                <w:szCs w:val="20"/>
              </w:rPr>
              <w:t>23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19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16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12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Chile</w:t>
            </w:r>
          </w:p>
        </w:tc>
        <w:tc>
          <w:tcPr>
            <w:tcW w:w="1032" w:type="dxa"/>
            <w:shd w:val="clear" w:color="auto" w:fill="auto"/>
            <w:noWrap/>
            <w:hideMark/>
          </w:tcPr>
          <w:p w:rsidR="006C09E4" w:rsidRPr="001E687D" w:rsidRDefault="006C09E4" w:rsidP="00172810">
            <w:pPr>
              <w:rPr>
                <w:sz w:val="20"/>
                <w:szCs w:val="20"/>
              </w:rPr>
            </w:pPr>
            <w:r w:rsidRPr="001E687D">
              <w:rPr>
                <w:sz w:val="20"/>
                <w:szCs w:val="20"/>
              </w:rPr>
              <w:t>37º</w:t>
            </w:r>
          </w:p>
        </w:tc>
        <w:tc>
          <w:tcPr>
            <w:tcW w:w="1033" w:type="dxa"/>
            <w:shd w:val="clear" w:color="auto" w:fill="auto"/>
            <w:noWrap/>
            <w:hideMark/>
          </w:tcPr>
          <w:p w:rsidR="006C09E4" w:rsidRPr="001E687D" w:rsidRDefault="006C09E4" w:rsidP="00172810">
            <w:pPr>
              <w:rPr>
                <w:sz w:val="20"/>
                <w:szCs w:val="20"/>
              </w:rPr>
            </w:pPr>
            <w:r w:rsidRPr="001E687D">
              <w:rPr>
                <w:sz w:val="20"/>
                <w:szCs w:val="20"/>
              </w:rPr>
              <w:t>27 º</w:t>
            </w:r>
          </w:p>
        </w:tc>
        <w:tc>
          <w:tcPr>
            <w:tcW w:w="1033" w:type="dxa"/>
            <w:shd w:val="clear" w:color="auto" w:fill="auto"/>
            <w:noWrap/>
            <w:hideMark/>
          </w:tcPr>
          <w:p w:rsidR="006C09E4" w:rsidRPr="001E687D" w:rsidRDefault="006C09E4" w:rsidP="00172810">
            <w:pPr>
              <w:rPr>
                <w:sz w:val="20"/>
                <w:szCs w:val="20"/>
              </w:rPr>
            </w:pPr>
            <w:r w:rsidRPr="001E687D">
              <w:rPr>
                <w:sz w:val="20"/>
                <w:szCs w:val="20"/>
              </w:rPr>
              <w:t>24 º</w:t>
            </w:r>
          </w:p>
        </w:tc>
        <w:tc>
          <w:tcPr>
            <w:tcW w:w="1032" w:type="dxa"/>
            <w:shd w:val="clear" w:color="auto" w:fill="auto"/>
            <w:noWrap/>
            <w:hideMark/>
          </w:tcPr>
          <w:p w:rsidR="006C09E4" w:rsidRPr="001E687D" w:rsidRDefault="006C09E4" w:rsidP="00172810">
            <w:pPr>
              <w:rPr>
                <w:sz w:val="20"/>
                <w:szCs w:val="20"/>
              </w:rPr>
            </w:pPr>
            <w:r w:rsidRPr="001E687D">
              <w:rPr>
                <w:sz w:val="20"/>
                <w:szCs w:val="20"/>
              </w:rPr>
              <w:t>37 º</w:t>
            </w:r>
          </w:p>
        </w:tc>
        <w:tc>
          <w:tcPr>
            <w:tcW w:w="1033" w:type="dxa"/>
            <w:shd w:val="clear" w:color="auto" w:fill="auto"/>
            <w:noWrap/>
            <w:hideMark/>
          </w:tcPr>
          <w:p w:rsidR="006C09E4" w:rsidRPr="001E687D" w:rsidRDefault="006C09E4" w:rsidP="00172810">
            <w:pPr>
              <w:rPr>
                <w:sz w:val="20"/>
                <w:szCs w:val="20"/>
              </w:rPr>
            </w:pPr>
            <w:r w:rsidRPr="001E687D">
              <w:rPr>
                <w:sz w:val="20"/>
                <w:szCs w:val="20"/>
              </w:rPr>
              <w:t>34 º</w:t>
            </w:r>
          </w:p>
        </w:tc>
        <w:tc>
          <w:tcPr>
            <w:tcW w:w="1033" w:type="dxa"/>
            <w:shd w:val="clear" w:color="auto" w:fill="auto"/>
            <w:noWrap/>
            <w:hideMark/>
          </w:tcPr>
          <w:p w:rsidR="006C09E4" w:rsidRPr="001E687D" w:rsidRDefault="006C09E4" w:rsidP="00172810">
            <w:pPr>
              <w:rPr>
                <w:sz w:val="20"/>
                <w:szCs w:val="20"/>
              </w:rPr>
            </w:pPr>
            <w:r w:rsidRPr="001E687D">
              <w:rPr>
                <w:sz w:val="20"/>
                <w:szCs w:val="20"/>
              </w:rPr>
              <w:t>32 º</w:t>
            </w:r>
          </w:p>
        </w:tc>
        <w:tc>
          <w:tcPr>
            <w:tcW w:w="1033" w:type="dxa"/>
            <w:shd w:val="clear" w:color="auto" w:fill="auto"/>
            <w:noWrap/>
            <w:hideMark/>
          </w:tcPr>
          <w:p w:rsidR="006C09E4" w:rsidRPr="001E687D" w:rsidRDefault="006C09E4" w:rsidP="00172810">
            <w:pPr>
              <w:rPr>
                <w:sz w:val="20"/>
                <w:szCs w:val="20"/>
              </w:rPr>
            </w:pPr>
            <w:r w:rsidRPr="001E687D">
              <w:rPr>
                <w:sz w:val="20"/>
                <w:szCs w:val="20"/>
              </w:rPr>
              <w:t>35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África do Sul</w:t>
            </w:r>
          </w:p>
        </w:tc>
        <w:tc>
          <w:tcPr>
            <w:tcW w:w="1032" w:type="dxa"/>
            <w:shd w:val="clear" w:color="auto" w:fill="auto"/>
            <w:noWrap/>
            <w:hideMark/>
          </w:tcPr>
          <w:p w:rsidR="006C09E4" w:rsidRPr="001E687D" w:rsidRDefault="006C09E4" w:rsidP="00172810">
            <w:pPr>
              <w:rPr>
                <w:sz w:val="20"/>
                <w:szCs w:val="20"/>
              </w:rPr>
            </w:pPr>
            <w:r w:rsidRPr="001E687D">
              <w:rPr>
                <w:sz w:val="20"/>
                <w:szCs w:val="20"/>
              </w:rPr>
              <w:t>49º</w:t>
            </w:r>
          </w:p>
        </w:tc>
        <w:tc>
          <w:tcPr>
            <w:tcW w:w="1033" w:type="dxa"/>
            <w:shd w:val="clear" w:color="auto" w:fill="auto"/>
            <w:noWrap/>
            <w:hideMark/>
          </w:tcPr>
          <w:p w:rsidR="006C09E4" w:rsidRPr="001E687D" w:rsidRDefault="006C09E4" w:rsidP="00172810">
            <w:pPr>
              <w:rPr>
                <w:sz w:val="20"/>
                <w:szCs w:val="20"/>
              </w:rPr>
            </w:pPr>
            <w:r w:rsidRPr="001E687D">
              <w:rPr>
                <w:sz w:val="20"/>
                <w:szCs w:val="20"/>
              </w:rPr>
              <w:t>49 º</w:t>
            </w:r>
          </w:p>
        </w:tc>
        <w:tc>
          <w:tcPr>
            <w:tcW w:w="1033" w:type="dxa"/>
            <w:shd w:val="clear" w:color="auto" w:fill="auto"/>
            <w:noWrap/>
            <w:hideMark/>
          </w:tcPr>
          <w:p w:rsidR="006C09E4" w:rsidRPr="001E687D" w:rsidRDefault="006C09E4" w:rsidP="00172810">
            <w:pPr>
              <w:rPr>
                <w:sz w:val="20"/>
                <w:szCs w:val="20"/>
              </w:rPr>
            </w:pPr>
            <w:r w:rsidRPr="001E687D">
              <w:rPr>
                <w:sz w:val="20"/>
                <w:szCs w:val="20"/>
              </w:rPr>
              <w:t>49 º</w:t>
            </w:r>
          </w:p>
        </w:tc>
        <w:tc>
          <w:tcPr>
            <w:tcW w:w="1032" w:type="dxa"/>
            <w:shd w:val="clear" w:color="auto" w:fill="auto"/>
            <w:noWrap/>
            <w:hideMark/>
          </w:tcPr>
          <w:p w:rsidR="006C09E4" w:rsidRPr="001E687D" w:rsidRDefault="006C09E4" w:rsidP="00172810">
            <w:pPr>
              <w:rPr>
                <w:sz w:val="20"/>
                <w:szCs w:val="20"/>
              </w:rPr>
            </w:pPr>
            <w:r w:rsidRPr="001E687D">
              <w:rPr>
                <w:sz w:val="20"/>
                <w:szCs w:val="20"/>
              </w:rPr>
              <w:t>50 º</w:t>
            </w:r>
          </w:p>
        </w:tc>
        <w:tc>
          <w:tcPr>
            <w:tcW w:w="1033" w:type="dxa"/>
            <w:shd w:val="clear" w:color="auto" w:fill="auto"/>
            <w:noWrap/>
            <w:hideMark/>
          </w:tcPr>
          <w:p w:rsidR="006C09E4" w:rsidRPr="001E687D" w:rsidRDefault="006C09E4" w:rsidP="00172810">
            <w:pPr>
              <w:rPr>
                <w:sz w:val="20"/>
                <w:szCs w:val="20"/>
              </w:rPr>
            </w:pPr>
            <w:r w:rsidRPr="001E687D">
              <w:rPr>
                <w:sz w:val="20"/>
                <w:szCs w:val="20"/>
              </w:rPr>
              <w:t>52 º</w:t>
            </w:r>
          </w:p>
        </w:tc>
        <w:tc>
          <w:tcPr>
            <w:tcW w:w="1033" w:type="dxa"/>
            <w:shd w:val="clear" w:color="auto" w:fill="auto"/>
            <w:noWrap/>
            <w:hideMark/>
          </w:tcPr>
          <w:p w:rsidR="006C09E4" w:rsidRPr="001E687D" w:rsidRDefault="006C09E4" w:rsidP="00172810">
            <w:pPr>
              <w:rPr>
                <w:sz w:val="20"/>
                <w:szCs w:val="20"/>
              </w:rPr>
            </w:pPr>
            <w:r w:rsidRPr="001E687D">
              <w:rPr>
                <w:sz w:val="20"/>
                <w:szCs w:val="20"/>
              </w:rPr>
              <w:t>51 º</w:t>
            </w:r>
          </w:p>
        </w:tc>
        <w:tc>
          <w:tcPr>
            <w:tcW w:w="1033" w:type="dxa"/>
            <w:shd w:val="clear" w:color="auto" w:fill="auto"/>
            <w:noWrap/>
            <w:hideMark/>
          </w:tcPr>
          <w:p w:rsidR="006C09E4" w:rsidRPr="001E687D" w:rsidRDefault="006C09E4" w:rsidP="00172810">
            <w:pPr>
              <w:rPr>
                <w:sz w:val="20"/>
                <w:szCs w:val="20"/>
              </w:rPr>
            </w:pPr>
            <w:r w:rsidRPr="001E687D">
              <w:rPr>
                <w:sz w:val="20"/>
                <w:szCs w:val="20"/>
              </w:rPr>
              <w:t>46 º</w:t>
            </w:r>
          </w:p>
        </w:tc>
      </w:tr>
      <w:tr w:rsidR="00C570F2" w:rsidRPr="001E687D" w:rsidTr="00C570F2">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China</w:t>
            </w:r>
          </w:p>
        </w:tc>
        <w:tc>
          <w:tcPr>
            <w:tcW w:w="1032" w:type="dxa"/>
            <w:shd w:val="clear" w:color="auto" w:fill="auto"/>
            <w:noWrap/>
            <w:hideMark/>
          </w:tcPr>
          <w:p w:rsidR="00C570F2" w:rsidRPr="001E687D" w:rsidRDefault="00C570F2" w:rsidP="00C570F2">
            <w:pPr>
              <w:rPr>
                <w:sz w:val="20"/>
                <w:szCs w:val="20"/>
              </w:rPr>
            </w:pPr>
            <w:r w:rsidRPr="001E687D">
              <w:rPr>
                <w:sz w:val="20"/>
                <w:szCs w:val="20"/>
              </w:rPr>
              <w:t>54º</w:t>
            </w:r>
          </w:p>
        </w:tc>
        <w:tc>
          <w:tcPr>
            <w:tcW w:w="1033" w:type="dxa"/>
            <w:shd w:val="clear" w:color="auto" w:fill="auto"/>
            <w:noWrap/>
            <w:hideMark/>
          </w:tcPr>
          <w:p w:rsidR="00C570F2" w:rsidRPr="001E687D" w:rsidRDefault="00C570F2" w:rsidP="00C570F2">
            <w:pPr>
              <w:rPr>
                <w:sz w:val="20"/>
                <w:szCs w:val="20"/>
              </w:rPr>
            </w:pPr>
            <w:r w:rsidRPr="001E687D">
              <w:rPr>
                <w:sz w:val="20"/>
                <w:szCs w:val="20"/>
              </w:rPr>
              <w:t>61 º</w:t>
            </w:r>
          </w:p>
        </w:tc>
        <w:tc>
          <w:tcPr>
            <w:tcW w:w="1033" w:type="dxa"/>
            <w:shd w:val="clear" w:color="auto" w:fill="auto"/>
            <w:noWrap/>
            <w:hideMark/>
          </w:tcPr>
          <w:p w:rsidR="00C570F2" w:rsidRPr="001E687D" w:rsidRDefault="00C570F2" w:rsidP="00C570F2">
            <w:pPr>
              <w:rPr>
                <w:sz w:val="20"/>
                <w:szCs w:val="20"/>
              </w:rPr>
            </w:pPr>
            <w:r w:rsidRPr="001E687D">
              <w:rPr>
                <w:sz w:val="20"/>
                <w:szCs w:val="20"/>
              </w:rPr>
              <w:t>67 º</w:t>
            </w:r>
          </w:p>
        </w:tc>
        <w:tc>
          <w:tcPr>
            <w:tcW w:w="1032" w:type="dxa"/>
            <w:shd w:val="clear" w:color="auto" w:fill="auto"/>
            <w:noWrap/>
            <w:hideMark/>
          </w:tcPr>
          <w:p w:rsidR="00C570F2" w:rsidRPr="001E687D" w:rsidRDefault="00C570F2" w:rsidP="00C570F2">
            <w:pPr>
              <w:rPr>
                <w:sz w:val="20"/>
                <w:szCs w:val="20"/>
              </w:rPr>
            </w:pPr>
            <w:r w:rsidRPr="001E687D">
              <w:rPr>
                <w:sz w:val="20"/>
                <w:szCs w:val="20"/>
              </w:rPr>
              <w:t>56 º</w:t>
            </w:r>
          </w:p>
        </w:tc>
        <w:tc>
          <w:tcPr>
            <w:tcW w:w="1033" w:type="dxa"/>
            <w:shd w:val="clear" w:color="auto" w:fill="auto"/>
            <w:noWrap/>
            <w:hideMark/>
          </w:tcPr>
          <w:p w:rsidR="00C570F2" w:rsidRPr="001E687D" w:rsidRDefault="00C570F2" w:rsidP="00C570F2">
            <w:pPr>
              <w:rPr>
                <w:sz w:val="20"/>
                <w:szCs w:val="20"/>
              </w:rPr>
            </w:pPr>
            <w:r w:rsidRPr="001E687D">
              <w:rPr>
                <w:sz w:val="20"/>
                <w:szCs w:val="20"/>
              </w:rPr>
              <w:t>59 º</w:t>
            </w:r>
          </w:p>
        </w:tc>
        <w:tc>
          <w:tcPr>
            <w:tcW w:w="1033" w:type="dxa"/>
            <w:shd w:val="clear" w:color="auto" w:fill="auto"/>
            <w:noWrap/>
            <w:hideMark/>
          </w:tcPr>
          <w:p w:rsidR="00C570F2" w:rsidRPr="001E687D" w:rsidRDefault="00C570F2" w:rsidP="00C570F2">
            <w:pPr>
              <w:rPr>
                <w:sz w:val="20"/>
                <w:szCs w:val="20"/>
              </w:rPr>
            </w:pPr>
            <w:r w:rsidRPr="001E687D">
              <w:rPr>
                <w:sz w:val="20"/>
                <w:szCs w:val="20"/>
              </w:rPr>
              <w:t>59 º</w:t>
            </w:r>
          </w:p>
        </w:tc>
        <w:tc>
          <w:tcPr>
            <w:tcW w:w="1033" w:type="dxa"/>
            <w:shd w:val="clear" w:color="auto" w:fill="auto"/>
            <w:noWrap/>
            <w:hideMark/>
          </w:tcPr>
          <w:p w:rsidR="00C570F2" w:rsidRPr="001E687D" w:rsidRDefault="00C570F2" w:rsidP="00C570F2">
            <w:pPr>
              <w:rPr>
                <w:sz w:val="20"/>
                <w:szCs w:val="20"/>
              </w:rPr>
            </w:pPr>
            <w:r w:rsidRPr="001E687D">
              <w:rPr>
                <w:sz w:val="20"/>
                <w:szCs w:val="20"/>
              </w:rPr>
              <w:t>53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Índia</w:t>
            </w:r>
          </w:p>
        </w:tc>
        <w:tc>
          <w:tcPr>
            <w:tcW w:w="1032" w:type="dxa"/>
            <w:shd w:val="clear" w:color="auto" w:fill="auto"/>
            <w:noWrap/>
            <w:hideMark/>
          </w:tcPr>
          <w:p w:rsidR="006C09E4" w:rsidRPr="001E687D" w:rsidRDefault="006C09E4" w:rsidP="00172810">
            <w:pPr>
              <w:rPr>
                <w:sz w:val="20"/>
                <w:szCs w:val="20"/>
              </w:rPr>
            </w:pPr>
            <w:r w:rsidRPr="001E687D">
              <w:rPr>
                <w:sz w:val="20"/>
                <w:szCs w:val="20"/>
              </w:rPr>
              <w:t>93º</w:t>
            </w:r>
          </w:p>
        </w:tc>
        <w:tc>
          <w:tcPr>
            <w:tcW w:w="1033" w:type="dxa"/>
            <w:shd w:val="clear" w:color="auto" w:fill="auto"/>
            <w:noWrap/>
            <w:hideMark/>
          </w:tcPr>
          <w:p w:rsidR="006C09E4" w:rsidRPr="001E687D" w:rsidRDefault="006C09E4" w:rsidP="00172810">
            <w:pPr>
              <w:rPr>
                <w:sz w:val="20"/>
                <w:szCs w:val="20"/>
              </w:rPr>
            </w:pPr>
            <w:r w:rsidRPr="001E687D">
              <w:rPr>
                <w:sz w:val="20"/>
                <w:szCs w:val="20"/>
              </w:rPr>
              <w:t>90 º</w:t>
            </w:r>
          </w:p>
        </w:tc>
        <w:tc>
          <w:tcPr>
            <w:tcW w:w="1033" w:type="dxa"/>
            <w:shd w:val="clear" w:color="auto" w:fill="auto"/>
            <w:noWrap/>
            <w:hideMark/>
          </w:tcPr>
          <w:p w:rsidR="006C09E4" w:rsidRPr="001E687D" w:rsidRDefault="006C09E4" w:rsidP="00172810">
            <w:pPr>
              <w:rPr>
                <w:sz w:val="20"/>
                <w:szCs w:val="20"/>
              </w:rPr>
            </w:pPr>
            <w:r w:rsidRPr="001E687D">
              <w:rPr>
                <w:sz w:val="20"/>
                <w:szCs w:val="20"/>
              </w:rPr>
              <w:t>83 º</w:t>
            </w:r>
          </w:p>
        </w:tc>
        <w:tc>
          <w:tcPr>
            <w:tcW w:w="1032" w:type="dxa"/>
            <w:shd w:val="clear" w:color="auto" w:fill="auto"/>
            <w:noWrap/>
            <w:hideMark/>
          </w:tcPr>
          <w:p w:rsidR="006C09E4" w:rsidRPr="001E687D" w:rsidRDefault="006C09E4" w:rsidP="00172810">
            <w:pPr>
              <w:rPr>
                <w:sz w:val="20"/>
                <w:szCs w:val="20"/>
              </w:rPr>
            </w:pPr>
            <w:r w:rsidRPr="001E687D">
              <w:rPr>
                <w:sz w:val="20"/>
                <w:szCs w:val="20"/>
              </w:rPr>
              <w:t>82 º</w:t>
            </w:r>
          </w:p>
        </w:tc>
        <w:tc>
          <w:tcPr>
            <w:tcW w:w="1033" w:type="dxa"/>
            <w:shd w:val="clear" w:color="auto" w:fill="auto"/>
            <w:noWrap/>
            <w:hideMark/>
          </w:tcPr>
          <w:p w:rsidR="006C09E4" w:rsidRPr="001E687D" w:rsidRDefault="006C09E4" w:rsidP="00172810">
            <w:pPr>
              <w:rPr>
                <w:sz w:val="20"/>
                <w:szCs w:val="20"/>
              </w:rPr>
            </w:pPr>
            <w:r w:rsidRPr="001E687D">
              <w:rPr>
                <w:sz w:val="20"/>
                <w:szCs w:val="20"/>
              </w:rPr>
              <w:t>80 º</w:t>
            </w:r>
          </w:p>
        </w:tc>
        <w:tc>
          <w:tcPr>
            <w:tcW w:w="1033" w:type="dxa"/>
            <w:shd w:val="clear" w:color="auto" w:fill="auto"/>
            <w:noWrap/>
            <w:hideMark/>
          </w:tcPr>
          <w:p w:rsidR="006C09E4" w:rsidRPr="001E687D" w:rsidRDefault="006C09E4" w:rsidP="00172810">
            <w:pPr>
              <w:rPr>
                <w:sz w:val="20"/>
                <w:szCs w:val="20"/>
              </w:rPr>
            </w:pPr>
            <w:r w:rsidRPr="001E687D">
              <w:rPr>
                <w:sz w:val="20"/>
                <w:szCs w:val="20"/>
              </w:rPr>
              <w:t>70 º</w:t>
            </w:r>
          </w:p>
        </w:tc>
        <w:tc>
          <w:tcPr>
            <w:tcW w:w="1033" w:type="dxa"/>
            <w:shd w:val="clear" w:color="auto" w:fill="auto"/>
            <w:noWrap/>
            <w:hideMark/>
          </w:tcPr>
          <w:p w:rsidR="006C09E4" w:rsidRPr="001E687D" w:rsidRDefault="006C09E4" w:rsidP="00172810">
            <w:pPr>
              <w:rPr>
                <w:sz w:val="20"/>
                <w:szCs w:val="20"/>
              </w:rPr>
            </w:pPr>
            <w:r w:rsidRPr="001E687D">
              <w:rPr>
                <w:sz w:val="20"/>
                <w:szCs w:val="20"/>
              </w:rPr>
              <w:t>76 º</w:t>
            </w:r>
          </w:p>
        </w:tc>
      </w:tr>
      <w:tr w:rsidR="00C570F2" w:rsidRPr="001E687D" w:rsidTr="00C570F2">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R</w:t>
            </w:r>
            <w:r w:rsidR="000C582D" w:rsidRPr="001E687D">
              <w:rPr>
                <w:sz w:val="20"/>
                <w:szCs w:val="20"/>
              </w:rPr>
              <w:t>ú</w:t>
            </w:r>
            <w:r w:rsidRPr="001E687D">
              <w:rPr>
                <w:sz w:val="20"/>
                <w:szCs w:val="20"/>
              </w:rPr>
              <w:t>ssia</w:t>
            </w:r>
          </w:p>
        </w:tc>
        <w:tc>
          <w:tcPr>
            <w:tcW w:w="1032" w:type="dxa"/>
            <w:shd w:val="clear" w:color="auto" w:fill="auto"/>
            <w:noWrap/>
            <w:hideMark/>
          </w:tcPr>
          <w:p w:rsidR="00C570F2" w:rsidRPr="001E687D" w:rsidRDefault="00C570F2" w:rsidP="00C570F2">
            <w:pPr>
              <w:rPr>
                <w:sz w:val="20"/>
                <w:szCs w:val="20"/>
              </w:rPr>
            </w:pPr>
            <w:r w:rsidRPr="001E687D">
              <w:rPr>
                <w:sz w:val="20"/>
                <w:szCs w:val="20"/>
              </w:rPr>
              <w:t>76º</w:t>
            </w:r>
          </w:p>
        </w:tc>
        <w:tc>
          <w:tcPr>
            <w:tcW w:w="1033" w:type="dxa"/>
            <w:shd w:val="clear" w:color="auto" w:fill="auto"/>
            <w:noWrap/>
            <w:hideMark/>
          </w:tcPr>
          <w:p w:rsidR="00C570F2" w:rsidRPr="001E687D" w:rsidRDefault="00C570F2" w:rsidP="00C570F2">
            <w:pPr>
              <w:rPr>
                <w:sz w:val="20"/>
                <w:szCs w:val="20"/>
              </w:rPr>
            </w:pPr>
            <w:r w:rsidRPr="001E687D">
              <w:rPr>
                <w:sz w:val="20"/>
                <w:szCs w:val="20"/>
              </w:rPr>
              <w:t>87 º</w:t>
            </w:r>
          </w:p>
        </w:tc>
        <w:tc>
          <w:tcPr>
            <w:tcW w:w="1033" w:type="dxa"/>
            <w:shd w:val="clear" w:color="auto" w:fill="auto"/>
            <w:noWrap/>
            <w:hideMark/>
          </w:tcPr>
          <w:p w:rsidR="00C570F2" w:rsidRPr="001E687D" w:rsidRDefault="00C570F2" w:rsidP="00C570F2">
            <w:pPr>
              <w:rPr>
                <w:sz w:val="20"/>
                <w:szCs w:val="20"/>
              </w:rPr>
            </w:pPr>
            <w:r w:rsidRPr="001E687D">
              <w:rPr>
                <w:sz w:val="20"/>
                <w:szCs w:val="20"/>
              </w:rPr>
              <w:t>93 º</w:t>
            </w:r>
          </w:p>
        </w:tc>
        <w:tc>
          <w:tcPr>
            <w:tcW w:w="1032" w:type="dxa"/>
            <w:shd w:val="clear" w:color="auto" w:fill="auto"/>
            <w:noWrap/>
            <w:hideMark/>
          </w:tcPr>
          <w:p w:rsidR="00C570F2" w:rsidRPr="001E687D" w:rsidRDefault="00C570F2" w:rsidP="00C570F2">
            <w:pPr>
              <w:rPr>
                <w:sz w:val="20"/>
                <w:szCs w:val="20"/>
              </w:rPr>
            </w:pPr>
            <w:r w:rsidRPr="001E687D">
              <w:rPr>
                <w:sz w:val="20"/>
                <w:szCs w:val="20"/>
              </w:rPr>
              <w:t>97 º</w:t>
            </w:r>
          </w:p>
        </w:tc>
        <w:tc>
          <w:tcPr>
            <w:tcW w:w="1033" w:type="dxa"/>
            <w:shd w:val="clear" w:color="auto" w:fill="auto"/>
            <w:noWrap/>
            <w:hideMark/>
          </w:tcPr>
          <w:p w:rsidR="00C570F2" w:rsidRPr="001E687D" w:rsidRDefault="00C570F2" w:rsidP="00C570F2">
            <w:pPr>
              <w:rPr>
                <w:sz w:val="20"/>
                <w:szCs w:val="20"/>
              </w:rPr>
            </w:pPr>
            <w:r w:rsidRPr="001E687D">
              <w:rPr>
                <w:sz w:val="20"/>
                <w:szCs w:val="20"/>
              </w:rPr>
              <w:t>93 º</w:t>
            </w:r>
          </w:p>
        </w:tc>
        <w:tc>
          <w:tcPr>
            <w:tcW w:w="1033" w:type="dxa"/>
            <w:shd w:val="clear" w:color="auto" w:fill="auto"/>
            <w:noWrap/>
            <w:hideMark/>
          </w:tcPr>
          <w:p w:rsidR="00C570F2" w:rsidRPr="001E687D" w:rsidRDefault="00C570F2" w:rsidP="00C570F2">
            <w:pPr>
              <w:rPr>
                <w:sz w:val="20"/>
                <w:szCs w:val="20"/>
              </w:rPr>
            </w:pPr>
            <w:r w:rsidRPr="001E687D">
              <w:rPr>
                <w:sz w:val="20"/>
                <w:szCs w:val="20"/>
              </w:rPr>
              <w:t>88 º</w:t>
            </w:r>
          </w:p>
        </w:tc>
        <w:tc>
          <w:tcPr>
            <w:tcW w:w="1033" w:type="dxa"/>
            <w:shd w:val="clear" w:color="auto" w:fill="auto"/>
            <w:noWrap/>
            <w:hideMark/>
          </w:tcPr>
          <w:p w:rsidR="00C570F2" w:rsidRPr="001E687D" w:rsidRDefault="00C570F2" w:rsidP="00C570F2">
            <w:pPr>
              <w:rPr>
                <w:sz w:val="20"/>
                <w:szCs w:val="20"/>
              </w:rPr>
            </w:pPr>
            <w:r w:rsidRPr="001E687D">
              <w:rPr>
                <w:sz w:val="20"/>
                <w:szCs w:val="20"/>
              </w:rPr>
              <w:t>81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Argentina</w:t>
            </w:r>
          </w:p>
        </w:tc>
        <w:tc>
          <w:tcPr>
            <w:tcW w:w="1032" w:type="dxa"/>
            <w:shd w:val="clear" w:color="auto" w:fill="auto"/>
            <w:noWrap/>
            <w:hideMark/>
          </w:tcPr>
          <w:p w:rsidR="006C09E4" w:rsidRPr="001E687D" w:rsidRDefault="006C09E4" w:rsidP="00172810">
            <w:pPr>
              <w:rPr>
                <w:sz w:val="20"/>
                <w:szCs w:val="20"/>
              </w:rPr>
            </w:pPr>
            <w:r w:rsidRPr="001E687D">
              <w:rPr>
                <w:sz w:val="20"/>
                <w:szCs w:val="20"/>
              </w:rPr>
              <w:t>92 º</w:t>
            </w:r>
          </w:p>
        </w:tc>
        <w:tc>
          <w:tcPr>
            <w:tcW w:w="1033" w:type="dxa"/>
            <w:shd w:val="clear" w:color="auto" w:fill="auto"/>
            <w:noWrap/>
            <w:hideMark/>
          </w:tcPr>
          <w:p w:rsidR="006C09E4" w:rsidRPr="001E687D" w:rsidRDefault="006C09E4" w:rsidP="00172810">
            <w:pPr>
              <w:rPr>
                <w:sz w:val="20"/>
                <w:szCs w:val="20"/>
              </w:rPr>
            </w:pPr>
            <w:r w:rsidRPr="001E687D">
              <w:rPr>
                <w:sz w:val="20"/>
                <w:szCs w:val="20"/>
              </w:rPr>
              <w:t>85 º</w:t>
            </w:r>
          </w:p>
        </w:tc>
        <w:tc>
          <w:tcPr>
            <w:tcW w:w="1033" w:type="dxa"/>
            <w:shd w:val="clear" w:color="auto" w:fill="auto"/>
            <w:noWrap/>
            <w:hideMark/>
          </w:tcPr>
          <w:p w:rsidR="006C09E4" w:rsidRPr="001E687D" w:rsidRDefault="006C09E4" w:rsidP="00172810">
            <w:pPr>
              <w:rPr>
                <w:sz w:val="20"/>
                <w:szCs w:val="20"/>
              </w:rPr>
            </w:pPr>
            <w:r w:rsidRPr="001E687D">
              <w:rPr>
                <w:sz w:val="20"/>
                <w:szCs w:val="20"/>
              </w:rPr>
              <w:t>88 º</w:t>
            </w:r>
          </w:p>
        </w:tc>
        <w:tc>
          <w:tcPr>
            <w:tcW w:w="1032" w:type="dxa"/>
            <w:shd w:val="clear" w:color="auto" w:fill="auto"/>
            <w:noWrap/>
            <w:hideMark/>
          </w:tcPr>
          <w:p w:rsidR="006C09E4" w:rsidRPr="001E687D" w:rsidRDefault="006C09E4" w:rsidP="00172810">
            <w:pPr>
              <w:rPr>
                <w:sz w:val="20"/>
                <w:szCs w:val="20"/>
              </w:rPr>
            </w:pPr>
            <w:r w:rsidRPr="001E687D">
              <w:rPr>
                <w:sz w:val="20"/>
                <w:szCs w:val="20"/>
              </w:rPr>
              <w:t>94 º</w:t>
            </w:r>
          </w:p>
        </w:tc>
        <w:tc>
          <w:tcPr>
            <w:tcW w:w="1033" w:type="dxa"/>
            <w:shd w:val="clear" w:color="auto" w:fill="auto"/>
            <w:noWrap/>
            <w:hideMark/>
          </w:tcPr>
          <w:p w:rsidR="006C09E4" w:rsidRPr="001E687D" w:rsidRDefault="006C09E4" w:rsidP="00172810">
            <w:pPr>
              <w:rPr>
                <w:sz w:val="20"/>
                <w:szCs w:val="20"/>
              </w:rPr>
            </w:pPr>
            <w:r w:rsidRPr="001E687D">
              <w:rPr>
                <w:sz w:val="20"/>
                <w:szCs w:val="20"/>
              </w:rPr>
              <w:t>101 º</w:t>
            </w:r>
          </w:p>
        </w:tc>
        <w:tc>
          <w:tcPr>
            <w:tcW w:w="1033" w:type="dxa"/>
            <w:shd w:val="clear" w:color="auto" w:fill="auto"/>
            <w:noWrap/>
            <w:hideMark/>
          </w:tcPr>
          <w:p w:rsidR="006C09E4" w:rsidRPr="001E687D" w:rsidRDefault="006C09E4" w:rsidP="00172810">
            <w:pPr>
              <w:rPr>
                <w:sz w:val="20"/>
                <w:szCs w:val="20"/>
              </w:rPr>
            </w:pPr>
            <w:r w:rsidRPr="001E687D">
              <w:rPr>
                <w:sz w:val="20"/>
                <w:szCs w:val="20"/>
              </w:rPr>
              <w:t>99 º</w:t>
            </w:r>
          </w:p>
        </w:tc>
        <w:tc>
          <w:tcPr>
            <w:tcW w:w="1033" w:type="dxa"/>
            <w:shd w:val="clear" w:color="auto" w:fill="auto"/>
            <w:noWrap/>
            <w:hideMark/>
          </w:tcPr>
          <w:p w:rsidR="006C09E4" w:rsidRPr="001E687D" w:rsidRDefault="006C09E4" w:rsidP="00172810">
            <w:pPr>
              <w:rPr>
                <w:sz w:val="20"/>
                <w:szCs w:val="20"/>
              </w:rPr>
            </w:pPr>
            <w:r w:rsidRPr="001E687D">
              <w:rPr>
                <w:sz w:val="20"/>
                <w:szCs w:val="20"/>
              </w:rPr>
              <w:t>91 º</w:t>
            </w:r>
          </w:p>
        </w:tc>
      </w:tr>
      <w:tr w:rsidR="00C570F2" w:rsidRPr="001E687D" w:rsidTr="00C570F2">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Brasil</w:t>
            </w:r>
          </w:p>
        </w:tc>
        <w:tc>
          <w:tcPr>
            <w:tcW w:w="1032" w:type="dxa"/>
            <w:shd w:val="clear" w:color="auto" w:fill="auto"/>
            <w:noWrap/>
            <w:hideMark/>
          </w:tcPr>
          <w:p w:rsidR="00C570F2" w:rsidRPr="001E687D" w:rsidRDefault="00C570F2" w:rsidP="00C570F2">
            <w:pPr>
              <w:rPr>
                <w:sz w:val="20"/>
                <w:szCs w:val="20"/>
              </w:rPr>
            </w:pPr>
            <w:r w:rsidRPr="001E687D">
              <w:rPr>
                <w:sz w:val="20"/>
                <w:szCs w:val="20"/>
              </w:rPr>
              <w:t>123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127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123 º</w:t>
            </w:r>
          </w:p>
        </w:tc>
        <w:tc>
          <w:tcPr>
            <w:tcW w:w="1032" w:type="dxa"/>
            <w:shd w:val="clear" w:color="auto" w:fill="auto"/>
            <w:noWrap/>
            <w:hideMark/>
          </w:tcPr>
          <w:p w:rsidR="00C570F2" w:rsidRPr="001E687D" w:rsidRDefault="00C570F2" w:rsidP="00C570F2">
            <w:pPr>
              <w:rPr>
                <w:sz w:val="20"/>
                <w:szCs w:val="20"/>
              </w:rPr>
            </w:pPr>
            <w:r w:rsidRPr="001E687D">
              <w:rPr>
                <w:sz w:val="20"/>
                <w:szCs w:val="20"/>
              </w:rPr>
              <w:t>130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135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131 º</w:t>
            </w:r>
          </w:p>
        </w:tc>
        <w:tc>
          <w:tcPr>
            <w:tcW w:w="1033" w:type="dxa"/>
            <w:shd w:val="clear" w:color="auto" w:fill="auto"/>
            <w:noWrap/>
            <w:hideMark/>
          </w:tcPr>
          <w:p w:rsidR="00C570F2" w:rsidRPr="001E687D" w:rsidRDefault="00C570F2" w:rsidP="00C570F2">
            <w:pPr>
              <w:rPr>
                <w:sz w:val="20"/>
                <w:szCs w:val="20"/>
              </w:rPr>
            </w:pPr>
            <w:r w:rsidRPr="001E687D">
              <w:rPr>
                <w:sz w:val="20"/>
                <w:szCs w:val="20"/>
              </w:rPr>
              <w:t>122 º</w:t>
            </w:r>
          </w:p>
        </w:tc>
      </w:tr>
    </w:tbl>
    <w:p w:rsidR="00C570F2" w:rsidRPr="000476A7" w:rsidRDefault="00C570F2" w:rsidP="001B74F4">
      <w:pPr>
        <w:spacing w:after="360"/>
        <w:ind w:firstLine="1418"/>
        <w:jc w:val="both"/>
        <w:rPr>
          <w:sz w:val="26"/>
          <w:szCs w:val="26"/>
        </w:rPr>
      </w:pPr>
    </w:p>
    <w:p w:rsidR="00C570F2" w:rsidRPr="000476A7" w:rsidRDefault="008E1546" w:rsidP="00C570F2">
      <w:pPr>
        <w:pStyle w:val="Ttulo0"/>
        <w:rPr>
          <w:sz w:val="26"/>
          <w:szCs w:val="26"/>
        </w:rPr>
      </w:pPr>
      <w:bookmarkStart w:id="14" w:name="_Toc442974383"/>
      <w:r>
        <w:rPr>
          <w:sz w:val="26"/>
          <w:szCs w:val="26"/>
        </w:rPr>
        <w:t>3</w:t>
      </w:r>
      <w:r w:rsidR="00E65B64" w:rsidRPr="000476A7">
        <w:rPr>
          <w:sz w:val="26"/>
          <w:szCs w:val="26"/>
        </w:rPr>
        <w:t>.2</w:t>
      </w:r>
      <w:r w:rsidR="00C570F2" w:rsidRPr="000476A7">
        <w:rPr>
          <w:sz w:val="26"/>
          <w:szCs w:val="26"/>
        </w:rPr>
        <w:t>.4 Qualidade Da Infraestrutura Aeroportuária</w:t>
      </w:r>
      <w:bookmarkEnd w:id="14"/>
    </w:p>
    <w:p w:rsidR="00E65263" w:rsidRDefault="00233B92" w:rsidP="00C570F2">
      <w:pPr>
        <w:spacing w:after="360"/>
        <w:ind w:firstLine="1418"/>
        <w:jc w:val="both"/>
        <w:rPr>
          <w:sz w:val="26"/>
          <w:szCs w:val="26"/>
        </w:rPr>
      </w:pPr>
      <w:r>
        <w:rPr>
          <w:sz w:val="26"/>
          <w:szCs w:val="26"/>
        </w:rPr>
        <w:t>As iniciativas de ampliação da infraestrutura aeroportuária estão divididas em investimento em 270 aeroportos para aviação regional, e em concessões nos aeroportos de grande porte até então administrados pela Infraero.</w:t>
      </w:r>
    </w:p>
    <w:p w:rsidR="00233B92" w:rsidRDefault="00233B92" w:rsidP="00C570F2">
      <w:pPr>
        <w:spacing w:after="360"/>
        <w:ind w:firstLine="1418"/>
        <w:jc w:val="both"/>
        <w:rPr>
          <w:sz w:val="26"/>
          <w:szCs w:val="26"/>
        </w:rPr>
      </w:pPr>
      <w:r>
        <w:rPr>
          <w:sz w:val="26"/>
          <w:szCs w:val="26"/>
        </w:rPr>
        <w:t>Em relação aos aeroportos regionais, avançam de forma lent</w:t>
      </w:r>
      <w:r w:rsidR="0096351A">
        <w:rPr>
          <w:sz w:val="26"/>
          <w:szCs w:val="26"/>
        </w:rPr>
        <w:t>a desde 2012 as obras nos aeroportos. Segundo a Secretaria de Aviação Civil, o investimento total com recursos do Fundo Nacional de Aviação Civil — FNAC seria de R$ 7,3 bilhões. A ideia é de que 96% da população brasileira estejam a 100 quilômetros de um terminal de passageiros. Atualmente 40 milhões de pessoas estão a uma distância maior que esta, e apenas 77 aeroportos regionais operam voos comerciais com regularidade. Até a presente data nenhuma obra foi iniciada, devido a atrasos nas fases iniciais de Estudo de Viabilidade Técnica, Estudo Preliminar e de Licenciamento Ambiental.</w:t>
      </w:r>
    </w:p>
    <w:p w:rsidR="00A8562B" w:rsidRDefault="0096351A" w:rsidP="00C570F2">
      <w:pPr>
        <w:spacing w:after="360"/>
        <w:ind w:firstLine="1418"/>
        <w:jc w:val="both"/>
        <w:rPr>
          <w:sz w:val="26"/>
          <w:szCs w:val="26"/>
        </w:rPr>
      </w:pPr>
      <w:r>
        <w:rPr>
          <w:sz w:val="26"/>
          <w:szCs w:val="26"/>
        </w:rPr>
        <w:t>Quanto à concessão dos grandes aeroportos, um aeroporto, São Gonçalo do Amarante</w:t>
      </w:r>
      <w:r w:rsidR="00A8562B">
        <w:rPr>
          <w:sz w:val="26"/>
          <w:szCs w:val="26"/>
        </w:rPr>
        <w:t>, foi construído 100% privado, e 5 aeroportos</w:t>
      </w:r>
      <w:r>
        <w:rPr>
          <w:sz w:val="26"/>
          <w:szCs w:val="26"/>
        </w:rPr>
        <w:t xml:space="preserve"> foram a leil</w:t>
      </w:r>
      <w:r w:rsidR="00A8562B">
        <w:rPr>
          <w:sz w:val="26"/>
          <w:szCs w:val="26"/>
        </w:rPr>
        <w:t>ão para administração por consórcios com controle privado, mas mantendo 49% de participação da Infraero. Como a estatal participa dos elevados investimentos após a concessão e os resultados são de médio prazo, a situação resulta em prejuízo que, estima-se, tenha sido de R$ 450 milhões em 2015.</w:t>
      </w:r>
    </w:p>
    <w:p w:rsidR="00A8562B" w:rsidRDefault="00A8562B" w:rsidP="00C570F2">
      <w:pPr>
        <w:spacing w:after="360"/>
        <w:ind w:firstLine="1418"/>
        <w:jc w:val="both"/>
        <w:rPr>
          <w:sz w:val="26"/>
          <w:szCs w:val="26"/>
        </w:rPr>
      </w:pPr>
      <w:r>
        <w:rPr>
          <w:sz w:val="26"/>
          <w:szCs w:val="26"/>
        </w:rPr>
        <w:t>Em função destes resultados, nas novas concessões dos aeroportos de Fortaleza, Salvador, Florianópolis e Porto Alegre, não haverá participação da Infraero, conforme divulgado pela Secretaria de Aviação Civil.</w:t>
      </w:r>
    </w:p>
    <w:p w:rsidR="00C570F2" w:rsidRPr="000476A7" w:rsidRDefault="00A8562B" w:rsidP="00C570F2">
      <w:pPr>
        <w:spacing w:after="360"/>
        <w:ind w:firstLine="1418"/>
        <w:jc w:val="both"/>
        <w:rPr>
          <w:sz w:val="26"/>
          <w:szCs w:val="26"/>
        </w:rPr>
      </w:pPr>
      <w:r>
        <w:rPr>
          <w:sz w:val="26"/>
          <w:szCs w:val="26"/>
        </w:rPr>
        <w:t>R</w:t>
      </w:r>
      <w:r w:rsidR="00287C6F" w:rsidRPr="000476A7">
        <w:rPr>
          <w:sz w:val="26"/>
          <w:szCs w:val="26"/>
        </w:rPr>
        <w:t>epete-se na</w:t>
      </w:r>
      <w:r w:rsidR="00C570F2" w:rsidRPr="000476A7">
        <w:rPr>
          <w:sz w:val="26"/>
          <w:szCs w:val="26"/>
        </w:rPr>
        <w:t xml:space="preserve"> infraestrutura aeroportuária de transportes a posição </w:t>
      </w:r>
      <w:r w:rsidR="00287C6F" w:rsidRPr="000476A7">
        <w:rPr>
          <w:sz w:val="26"/>
          <w:szCs w:val="26"/>
        </w:rPr>
        <w:t xml:space="preserve">deficiente </w:t>
      </w:r>
      <w:r w:rsidR="00C570F2" w:rsidRPr="000476A7">
        <w:rPr>
          <w:sz w:val="26"/>
          <w:szCs w:val="26"/>
        </w:rPr>
        <w:t xml:space="preserve">do Brasil nos </w:t>
      </w:r>
      <w:r w:rsidR="00C570F2" w:rsidRPr="000476A7">
        <w:rPr>
          <w:i/>
          <w:sz w:val="26"/>
          <w:szCs w:val="26"/>
        </w:rPr>
        <w:t>rankings</w:t>
      </w:r>
      <w:r w:rsidR="00C570F2" w:rsidRPr="000476A7">
        <w:rPr>
          <w:sz w:val="26"/>
          <w:szCs w:val="26"/>
        </w:rPr>
        <w:t xml:space="preserve"> internacionais de competitividade.</w:t>
      </w:r>
      <w:r w:rsidR="001B4CB0" w:rsidRPr="000476A7">
        <w:rPr>
          <w:sz w:val="26"/>
          <w:szCs w:val="26"/>
        </w:rPr>
        <w:t xml:space="preserve"> M</w:t>
      </w:r>
      <w:r w:rsidR="00287C6F" w:rsidRPr="000476A7">
        <w:rPr>
          <w:sz w:val="26"/>
          <w:szCs w:val="26"/>
        </w:rPr>
        <w:t>ais uma vez</w:t>
      </w:r>
      <w:r w:rsidR="001B4CB0" w:rsidRPr="000476A7">
        <w:rPr>
          <w:sz w:val="26"/>
          <w:szCs w:val="26"/>
        </w:rPr>
        <w:t>, o Brasil</w:t>
      </w:r>
      <w:r w:rsidR="00C570F2" w:rsidRPr="000476A7">
        <w:rPr>
          <w:sz w:val="26"/>
          <w:szCs w:val="26"/>
        </w:rPr>
        <w:t xml:space="preserve"> ocupa posição deficitária, com viés de queda, tal qual havíamos constatado no</w:t>
      </w:r>
      <w:r w:rsidR="00287C6F" w:rsidRPr="000476A7">
        <w:rPr>
          <w:sz w:val="26"/>
          <w:szCs w:val="26"/>
        </w:rPr>
        <w:t>s demais</w:t>
      </w:r>
      <w:r w:rsidR="00C570F2" w:rsidRPr="000476A7">
        <w:rPr>
          <w:sz w:val="26"/>
          <w:szCs w:val="26"/>
        </w:rPr>
        <w:t xml:space="preserve"> moda</w:t>
      </w:r>
      <w:r w:rsidR="00287C6F" w:rsidRPr="000476A7">
        <w:rPr>
          <w:sz w:val="26"/>
          <w:szCs w:val="26"/>
        </w:rPr>
        <w:t>is</w:t>
      </w:r>
      <w:r w:rsidR="00C570F2" w:rsidRPr="000476A7">
        <w:rPr>
          <w:sz w:val="26"/>
          <w:szCs w:val="26"/>
        </w:rPr>
        <w:t>.</w:t>
      </w:r>
    </w:p>
    <w:p w:rsidR="001E687D" w:rsidRDefault="001E687D" w:rsidP="001E687D">
      <w:pPr>
        <w:pStyle w:val="Legenda"/>
        <w:keepNext/>
      </w:pPr>
      <w:r>
        <w:t xml:space="preserve">Tabela </w:t>
      </w:r>
      <w:fldSimple w:instr=" SEQ Tabela \* ARABIC ">
        <w:r w:rsidR="00780B83">
          <w:rPr>
            <w:noProof/>
          </w:rPr>
          <w:t>11</w:t>
        </w:r>
      </w:fldSimple>
      <w:r w:rsidRPr="001E687D">
        <w:t xml:space="preserve">- Ranking da Qualidade da Infraestrutura Aeroportuária - BRICS, Argentina, Chile e EUA, </w:t>
      </w:r>
      <w:r w:rsidRPr="001E687D">
        <w:rPr>
          <w:noProof/>
        </w:rPr>
        <w:t>2008 a 2015</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992"/>
        <w:gridCol w:w="1134"/>
        <w:gridCol w:w="992"/>
        <w:gridCol w:w="992"/>
        <w:gridCol w:w="993"/>
        <w:gridCol w:w="1134"/>
        <w:gridCol w:w="1134"/>
      </w:tblGrid>
      <w:tr w:rsidR="004B4EA8" w:rsidRPr="001E687D" w:rsidTr="00EC08F1">
        <w:trPr>
          <w:trHeight w:val="300"/>
        </w:trPr>
        <w:tc>
          <w:tcPr>
            <w:tcW w:w="1560" w:type="dxa"/>
            <w:shd w:val="clear" w:color="auto" w:fill="auto"/>
            <w:noWrap/>
            <w:vAlign w:val="bottom"/>
            <w:hideMark/>
          </w:tcPr>
          <w:p w:rsidR="00C570F2" w:rsidRPr="001E687D" w:rsidRDefault="00C570F2" w:rsidP="00C570F2">
            <w:pPr>
              <w:rPr>
                <w:sz w:val="20"/>
                <w:szCs w:val="20"/>
              </w:rPr>
            </w:pPr>
            <w:r w:rsidRPr="001E687D">
              <w:rPr>
                <w:sz w:val="20"/>
                <w:szCs w:val="20"/>
              </w:rPr>
              <w:t xml:space="preserve">Ranking – Qualidade da Infraestrutura </w:t>
            </w:r>
          </w:p>
          <w:p w:rsidR="00C570F2" w:rsidRPr="001E687D" w:rsidRDefault="00C570F2" w:rsidP="00C570F2">
            <w:pPr>
              <w:rPr>
                <w:sz w:val="20"/>
                <w:szCs w:val="20"/>
              </w:rPr>
            </w:pPr>
            <w:r w:rsidRPr="001E687D">
              <w:rPr>
                <w:sz w:val="20"/>
                <w:szCs w:val="20"/>
              </w:rPr>
              <w:t>Aeroportuária</w:t>
            </w:r>
          </w:p>
        </w:tc>
        <w:tc>
          <w:tcPr>
            <w:tcW w:w="992"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2008-2009</w:t>
            </w:r>
          </w:p>
          <w:p w:rsidR="00C570F2" w:rsidRPr="001E687D" w:rsidRDefault="00C570F2" w:rsidP="00C570F2">
            <w:pPr>
              <w:jc w:val="center"/>
              <w:rPr>
                <w:b/>
                <w:sz w:val="20"/>
                <w:szCs w:val="20"/>
              </w:rPr>
            </w:pPr>
            <w:r w:rsidRPr="001E687D">
              <w:rPr>
                <w:b/>
                <w:sz w:val="20"/>
                <w:szCs w:val="20"/>
              </w:rPr>
              <w:t>(134)</w:t>
            </w:r>
          </w:p>
        </w:tc>
        <w:tc>
          <w:tcPr>
            <w:tcW w:w="1134"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2009-2010</w:t>
            </w:r>
          </w:p>
          <w:p w:rsidR="00C570F2" w:rsidRPr="001E687D" w:rsidRDefault="00C570F2" w:rsidP="00C570F2">
            <w:pPr>
              <w:jc w:val="center"/>
              <w:rPr>
                <w:b/>
                <w:sz w:val="20"/>
                <w:szCs w:val="20"/>
              </w:rPr>
            </w:pPr>
            <w:r w:rsidRPr="001E687D">
              <w:rPr>
                <w:b/>
                <w:sz w:val="20"/>
                <w:szCs w:val="20"/>
              </w:rPr>
              <w:t>(133)</w:t>
            </w:r>
          </w:p>
        </w:tc>
        <w:tc>
          <w:tcPr>
            <w:tcW w:w="992"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2010-2011</w:t>
            </w:r>
          </w:p>
          <w:p w:rsidR="00C570F2" w:rsidRPr="001E687D" w:rsidRDefault="00C570F2" w:rsidP="00C570F2">
            <w:pPr>
              <w:jc w:val="center"/>
              <w:rPr>
                <w:b/>
                <w:sz w:val="20"/>
                <w:szCs w:val="20"/>
              </w:rPr>
            </w:pPr>
            <w:r w:rsidRPr="001E687D">
              <w:rPr>
                <w:b/>
                <w:sz w:val="20"/>
                <w:szCs w:val="20"/>
              </w:rPr>
              <w:t>(139)</w:t>
            </w:r>
          </w:p>
        </w:tc>
        <w:tc>
          <w:tcPr>
            <w:tcW w:w="992"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2011-2012</w:t>
            </w:r>
          </w:p>
          <w:p w:rsidR="00C570F2" w:rsidRPr="001E687D" w:rsidRDefault="00C570F2" w:rsidP="00C570F2">
            <w:pPr>
              <w:jc w:val="center"/>
              <w:rPr>
                <w:b/>
                <w:sz w:val="20"/>
                <w:szCs w:val="20"/>
              </w:rPr>
            </w:pPr>
            <w:r w:rsidRPr="001E687D">
              <w:rPr>
                <w:b/>
                <w:sz w:val="20"/>
                <w:szCs w:val="20"/>
              </w:rPr>
              <w:t>(142)</w:t>
            </w:r>
          </w:p>
        </w:tc>
        <w:tc>
          <w:tcPr>
            <w:tcW w:w="993"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2012-2013</w:t>
            </w:r>
          </w:p>
          <w:p w:rsidR="00C570F2" w:rsidRPr="001E687D" w:rsidRDefault="00C570F2" w:rsidP="00C570F2">
            <w:pPr>
              <w:jc w:val="center"/>
              <w:rPr>
                <w:b/>
                <w:sz w:val="20"/>
                <w:szCs w:val="20"/>
              </w:rPr>
            </w:pPr>
            <w:r w:rsidRPr="001E687D">
              <w:rPr>
                <w:b/>
                <w:sz w:val="20"/>
                <w:szCs w:val="20"/>
              </w:rPr>
              <w:t>(144)</w:t>
            </w:r>
          </w:p>
        </w:tc>
        <w:tc>
          <w:tcPr>
            <w:tcW w:w="1134"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2013-2014</w:t>
            </w:r>
          </w:p>
          <w:p w:rsidR="00C570F2" w:rsidRPr="001E687D" w:rsidRDefault="00C570F2" w:rsidP="00C570F2">
            <w:pPr>
              <w:jc w:val="center"/>
              <w:rPr>
                <w:b/>
                <w:sz w:val="20"/>
                <w:szCs w:val="20"/>
              </w:rPr>
            </w:pPr>
            <w:r w:rsidRPr="001E687D">
              <w:rPr>
                <w:b/>
                <w:sz w:val="20"/>
                <w:szCs w:val="20"/>
              </w:rPr>
              <w:t>(148)</w:t>
            </w:r>
          </w:p>
        </w:tc>
        <w:tc>
          <w:tcPr>
            <w:tcW w:w="1134" w:type="dxa"/>
            <w:shd w:val="clear" w:color="auto" w:fill="auto"/>
            <w:noWrap/>
            <w:vAlign w:val="center"/>
            <w:hideMark/>
          </w:tcPr>
          <w:p w:rsidR="00C570F2" w:rsidRPr="001E687D" w:rsidRDefault="00C570F2" w:rsidP="00C570F2">
            <w:pPr>
              <w:jc w:val="center"/>
              <w:rPr>
                <w:b/>
                <w:sz w:val="20"/>
                <w:szCs w:val="20"/>
              </w:rPr>
            </w:pPr>
            <w:r w:rsidRPr="001E687D">
              <w:rPr>
                <w:b/>
                <w:sz w:val="20"/>
                <w:szCs w:val="20"/>
              </w:rPr>
              <w:t>2014-2015</w:t>
            </w:r>
          </w:p>
          <w:p w:rsidR="00C570F2" w:rsidRPr="001E687D" w:rsidRDefault="00C570F2" w:rsidP="00C570F2">
            <w:pPr>
              <w:jc w:val="center"/>
              <w:rPr>
                <w:b/>
                <w:sz w:val="20"/>
                <w:szCs w:val="20"/>
              </w:rPr>
            </w:pPr>
            <w:r w:rsidRPr="001E687D">
              <w:rPr>
                <w:b/>
                <w:sz w:val="20"/>
                <w:szCs w:val="20"/>
              </w:rPr>
              <w:t>(144)</w:t>
            </w:r>
          </w:p>
        </w:tc>
      </w:tr>
      <w:tr w:rsidR="004B4EA8" w:rsidRPr="001E687D" w:rsidTr="00EC08F1">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EUA</w:t>
            </w:r>
          </w:p>
        </w:tc>
        <w:tc>
          <w:tcPr>
            <w:tcW w:w="992" w:type="dxa"/>
            <w:shd w:val="clear" w:color="auto" w:fill="auto"/>
            <w:noWrap/>
            <w:hideMark/>
          </w:tcPr>
          <w:p w:rsidR="00C570F2" w:rsidRPr="001E687D" w:rsidRDefault="00C570F2" w:rsidP="00C570F2">
            <w:pPr>
              <w:rPr>
                <w:sz w:val="20"/>
                <w:szCs w:val="20"/>
              </w:rPr>
            </w:pPr>
            <w:r w:rsidRPr="001E687D">
              <w:rPr>
                <w:sz w:val="20"/>
                <w:szCs w:val="20"/>
              </w:rPr>
              <w:t>12º</w:t>
            </w:r>
          </w:p>
        </w:tc>
        <w:tc>
          <w:tcPr>
            <w:tcW w:w="1134" w:type="dxa"/>
            <w:shd w:val="clear" w:color="auto" w:fill="auto"/>
            <w:noWrap/>
            <w:hideMark/>
          </w:tcPr>
          <w:p w:rsidR="00C570F2" w:rsidRPr="001E687D" w:rsidRDefault="00C570F2" w:rsidP="00C570F2">
            <w:pPr>
              <w:rPr>
                <w:sz w:val="20"/>
                <w:szCs w:val="20"/>
              </w:rPr>
            </w:pPr>
            <w:r w:rsidRPr="001E687D">
              <w:rPr>
                <w:sz w:val="20"/>
                <w:szCs w:val="20"/>
              </w:rPr>
              <w:t>20 º</w:t>
            </w:r>
          </w:p>
        </w:tc>
        <w:tc>
          <w:tcPr>
            <w:tcW w:w="992" w:type="dxa"/>
            <w:shd w:val="clear" w:color="auto" w:fill="auto"/>
            <w:noWrap/>
            <w:hideMark/>
          </w:tcPr>
          <w:p w:rsidR="00C570F2" w:rsidRPr="001E687D" w:rsidRDefault="00C570F2" w:rsidP="00C570F2">
            <w:pPr>
              <w:rPr>
                <w:sz w:val="20"/>
                <w:szCs w:val="20"/>
              </w:rPr>
            </w:pPr>
            <w:r w:rsidRPr="001E687D">
              <w:rPr>
                <w:sz w:val="20"/>
                <w:szCs w:val="20"/>
              </w:rPr>
              <w:t>32 º</w:t>
            </w:r>
          </w:p>
        </w:tc>
        <w:tc>
          <w:tcPr>
            <w:tcW w:w="992" w:type="dxa"/>
            <w:shd w:val="clear" w:color="auto" w:fill="auto"/>
            <w:noWrap/>
            <w:hideMark/>
          </w:tcPr>
          <w:p w:rsidR="00C570F2" w:rsidRPr="001E687D" w:rsidRDefault="00C570F2" w:rsidP="00C570F2">
            <w:pPr>
              <w:rPr>
                <w:sz w:val="20"/>
                <w:szCs w:val="20"/>
              </w:rPr>
            </w:pPr>
            <w:r w:rsidRPr="001E687D">
              <w:rPr>
                <w:sz w:val="20"/>
                <w:szCs w:val="20"/>
              </w:rPr>
              <w:t>31 º</w:t>
            </w:r>
          </w:p>
        </w:tc>
        <w:tc>
          <w:tcPr>
            <w:tcW w:w="993" w:type="dxa"/>
            <w:shd w:val="clear" w:color="auto" w:fill="auto"/>
            <w:noWrap/>
            <w:hideMark/>
          </w:tcPr>
          <w:p w:rsidR="00C570F2" w:rsidRPr="001E687D" w:rsidRDefault="00C570F2" w:rsidP="00C570F2">
            <w:pPr>
              <w:rPr>
                <w:sz w:val="20"/>
                <w:szCs w:val="20"/>
              </w:rPr>
            </w:pPr>
            <w:r w:rsidRPr="001E687D">
              <w:rPr>
                <w:sz w:val="20"/>
                <w:szCs w:val="20"/>
              </w:rPr>
              <w:t>30 º</w:t>
            </w:r>
          </w:p>
        </w:tc>
        <w:tc>
          <w:tcPr>
            <w:tcW w:w="1134" w:type="dxa"/>
            <w:shd w:val="clear" w:color="auto" w:fill="auto"/>
            <w:noWrap/>
            <w:hideMark/>
          </w:tcPr>
          <w:p w:rsidR="00C570F2" w:rsidRPr="001E687D" w:rsidRDefault="00C570F2" w:rsidP="00C570F2">
            <w:pPr>
              <w:rPr>
                <w:sz w:val="20"/>
                <w:szCs w:val="20"/>
              </w:rPr>
            </w:pPr>
            <w:r w:rsidRPr="001E687D">
              <w:rPr>
                <w:sz w:val="20"/>
                <w:szCs w:val="20"/>
              </w:rPr>
              <w:t>18 º</w:t>
            </w:r>
          </w:p>
        </w:tc>
        <w:tc>
          <w:tcPr>
            <w:tcW w:w="1134" w:type="dxa"/>
            <w:shd w:val="clear" w:color="auto" w:fill="auto"/>
            <w:noWrap/>
            <w:hideMark/>
          </w:tcPr>
          <w:p w:rsidR="00C570F2" w:rsidRPr="001E687D" w:rsidRDefault="00C570F2" w:rsidP="00C570F2">
            <w:pPr>
              <w:rPr>
                <w:sz w:val="20"/>
                <w:szCs w:val="20"/>
              </w:rPr>
            </w:pPr>
            <w:r w:rsidRPr="001E687D">
              <w:rPr>
                <w:sz w:val="20"/>
                <w:szCs w:val="20"/>
              </w:rPr>
              <w:t>9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África do Sul</w:t>
            </w:r>
          </w:p>
        </w:tc>
        <w:tc>
          <w:tcPr>
            <w:tcW w:w="992" w:type="dxa"/>
            <w:shd w:val="clear" w:color="auto" w:fill="auto"/>
            <w:noWrap/>
            <w:hideMark/>
          </w:tcPr>
          <w:p w:rsidR="006C09E4" w:rsidRPr="001E687D" w:rsidRDefault="006C09E4" w:rsidP="00172810">
            <w:pPr>
              <w:rPr>
                <w:sz w:val="20"/>
                <w:szCs w:val="20"/>
              </w:rPr>
            </w:pPr>
            <w:r w:rsidRPr="001E687D">
              <w:rPr>
                <w:sz w:val="20"/>
                <w:szCs w:val="20"/>
              </w:rPr>
              <w:t>25 º</w:t>
            </w:r>
          </w:p>
        </w:tc>
        <w:tc>
          <w:tcPr>
            <w:tcW w:w="1134" w:type="dxa"/>
            <w:shd w:val="clear" w:color="auto" w:fill="auto"/>
            <w:noWrap/>
            <w:hideMark/>
          </w:tcPr>
          <w:p w:rsidR="006C09E4" w:rsidRPr="001E687D" w:rsidRDefault="006C09E4" w:rsidP="00172810">
            <w:pPr>
              <w:rPr>
                <w:sz w:val="20"/>
                <w:szCs w:val="20"/>
              </w:rPr>
            </w:pPr>
            <w:r w:rsidRPr="001E687D">
              <w:rPr>
                <w:sz w:val="20"/>
                <w:szCs w:val="20"/>
              </w:rPr>
              <w:t>23 º</w:t>
            </w:r>
          </w:p>
        </w:tc>
        <w:tc>
          <w:tcPr>
            <w:tcW w:w="992" w:type="dxa"/>
            <w:shd w:val="clear" w:color="auto" w:fill="auto"/>
            <w:noWrap/>
            <w:hideMark/>
          </w:tcPr>
          <w:p w:rsidR="006C09E4" w:rsidRPr="001E687D" w:rsidRDefault="006C09E4" w:rsidP="00172810">
            <w:pPr>
              <w:rPr>
                <w:sz w:val="20"/>
                <w:szCs w:val="20"/>
              </w:rPr>
            </w:pPr>
            <w:r w:rsidRPr="001E687D">
              <w:rPr>
                <w:sz w:val="20"/>
                <w:szCs w:val="20"/>
              </w:rPr>
              <w:t>18 º</w:t>
            </w:r>
          </w:p>
        </w:tc>
        <w:tc>
          <w:tcPr>
            <w:tcW w:w="992" w:type="dxa"/>
            <w:shd w:val="clear" w:color="auto" w:fill="auto"/>
            <w:noWrap/>
            <w:hideMark/>
          </w:tcPr>
          <w:p w:rsidR="006C09E4" w:rsidRPr="001E687D" w:rsidRDefault="006C09E4" w:rsidP="00172810">
            <w:pPr>
              <w:rPr>
                <w:sz w:val="20"/>
                <w:szCs w:val="20"/>
              </w:rPr>
            </w:pPr>
            <w:r w:rsidRPr="001E687D">
              <w:rPr>
                <w:sz w:val="20"/>
                <w:szCs w:val="20"/>
              </w:rPr>
              <w:t>17 º</w:t>
            </w:r>
          </w:p>
        </w:tc>
        <w:tc>
          <w:tcPr>
            <w:tcW w:w="993" w:type="dxa"/>
            <w:shd w:val="clear" w:color="auto" w:fill="auto"/>
            <w:noWrap/>
            <w:hideMark/>
          </w:tcPr>
          <w:p w:rsidR="006C09E4" w:rsidRPr="001E687D" w:rsidRDefault="006C09E4" w:rsidP="00172810">
            <w:pPr>
              <w:rPr>
                <w:sz w:val="20"/>
                <w:szCs w:val="20"/>
              </w:rPr>
            </w:pPr>
            <w:r w:rsidRPr="001E687D">
              <w:rPr>
                <w:sz w:val="20"/>
                <w:szCs w:val="20"/>
              </w:rPr>
              <w:t>15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11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11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Chile</w:t>
            </w:r>
          </w:p>
        </w:tc>
        <w:tc>
          <w:tcPr>
            <w:tcW w:w="992" w:type="dxa"/>
            <w:shd w:val="clear" w:color="auto" w:fill="auto"/>
            <w:noWrap/>
            <w:hideMark/>
          </w:tcPr>
          <w:p w:rsidR="006C09E4" w:rsidRPr="001E687D" w:rsidRDefault="006C09E4" w:rsidP="00172810">
            <w:pPr>
              <w:rPr>
                <w:sz w:val="20"/>
                <w:szCs w:val="20"/>
              </w:rPr>
            </w:pPr>
            <w:r w:rsidRPr="001E687D">
              <w:rPr>
                <w:sz w:val="20"/>
                <w:szCs w:val="20"/>
              </w:rPr>
              <w:t>24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19 º</w:t>
            </w:r>
          </w:p>
        </w:tc>
        <w:tc>
          <w:tcPr>
            <w:tcW w:w="992" w:type="dxa"/>
            <w:shd w:val="clear" w:color="auto" w:fill="auto"/>
            <w:noWrap/>
            <w:hideMark/>
          </w:tcPr>
          <w:p w:rsidR="006C09E4" w:rsidRPr="001E687D" w:rsidRDefault="006C09E4" w:rsidP="00172810">
            <w:pPr>
              <w:rPr>
                <w:sz w:val="20"/>
                <w:szCs w:val="20"/>
              </w:rPr>
            </w:pPr>
            <w:r w:rsidRPr="001E687D">
              <w:rPr>
                <w:sz w:val="20"/>
                <w:szCs w:val="20"/>
              </w:rPr>
              <w:t>26 º</w:t>
            </w:r>
          </w:p>
        </w:tc>
        <w:tc>
          <w:tcPr>
            <w:tcW w:w="992" w:type="dxa"/>
            <w:shd w:val="clear" w:color="auto" w:fill="auto"/>
            <w:noWrap/>
            <w:hideMark/>
          </w:tcPr>
          <w:p w:rsidR="006C09E4" w:rsidRPr="001E687D" w:rsidRDefault="006C09E4" w:rsidP="00172810">
            <w:pPr>
              <w:rPr>
                <w:sz w:val="20"/>
                <w:szCs w:val="20"/>
              </w:rPr>
            </w:pPr>
            <w:r w:rsidRPr="001E687D">
              <w:rPr>
                <w:sz w:val="20"/>
                <w:szCs w:val="20"/>
              </w:rPr>
              <w:t>35 º</w:t>
            </w:r>
          </w:p>
        </w:tc>
        <w:tc>
          <w:tcPr>
            <w:tcW w:w="993" w:type="dxa"/>
            <w:shd w:val="clear" w:color="auto" w:fill="auto"/>
            <w:noWrap/>
            <w:hideMark/>
          </w:tcPr>
          <w:p w:rsidR="006C09E4" w:rsidRPr="001E687D" w:rsidRDefault="006C09E4" w:rsidP="00172810">
            <w:pPr>
              <w:rPr>
                <w:sz w:val="20"/>
                <w:szCs w:val="20"/>
              </w:rPr>
            </w:pPr>
            <w:r w:rsidRPr="001E687D">
              <w:rPr>
                <w:sz w:val="20"/>
                <w:szCs w:val="20"/>
              </w:rPr>
              <w:t>39 º</w:t>
            </w:r>
          </w:p>
        </w:tc>
        <w:tc>
          <w:tcPr>
            <w:tcW w:w="1134" w:type="dxa"/>
            <w:shd w:val="clear" w:color="auto" w:fill="auto"/>
            <w:noWrap/>
            <w:hideMark/>
          </w:tcPr>
          <w:p w:rsidR="006C09E4" w:rsidRPr="001E687D" w:rsidRDefault="006C09E4" w:rsidP="00172810">
            <w:pPr>
              <w:rPr>
                <w:sz w:val="20"/>
                <w:szCs w:val="20"/>
              </w:rPr>
            </w:pPr>
            <w:r w:rsidRPr="001E687D">
              <w:rPr>
                <w:sz w:val="20"/>
                <w:szCs w:val="20"/>
              </w:rPr>
              <w:t>46 º</w:t>
            </w:r>
          </w:p>
        </w:tc>
        <w:tc>
          <w:tcPr>
            <w:tcW w:w="1134" w:type="dxa"/>
            <w:shd w:val="clear" w:color="auto" w:fill="auto"/>
            <w:noWrap/>
            <w:hideMark/>
          </w:tcPr>
          <w:p w:rsidR="006C09E4" w:rsidRPr="001E687D" w:rsidRDefault="006C09E4" w:rsidP="00172810">
            <w:pPr>
              <w:rPr>
                <w:sz w:val="20"/>
                <w:szCs w:val="20"/>
              </w:rPr>
            </w:pPr>
            <w:r w:rsidRPr="001E687D">
              <w:rPr>
                <w:sz w:val="20"/>
                <w:szCs w:val="20"/>
              </w:rPr>
              <w:t>45 º</w:t>
            </w:r>
          </w:p>
        </w:tc>
      </w:tr>
      <w:tr w:rsidR="004B4EA8" w:rsidRPr="001E687D" w:rsidTr="00EC08F1">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China</w:t>
            </w:r>
          </w:p>
        </w:tc>
        <w:tc>
          <w:tcPr>
            <w:tcW w:w="992" w:type="dxa"/>
            <w:shd w:val="clear" w:color="auto" w:fill="auto"/>
            <w:noWrap/>
            <w:hideMark/>
          </w:tcPr>
          <w:p w:rsidR="00C570F2" w:rsidRPr="001E687D" w:rsidRDefault="00C570F2" w:rsidP="00C570F2">
            <w:pPr>
              <w:rPr>
                <w:sz w:val="20"/>
                <w:szCs w:val="20"/>
              </w:rPr>
            </w:pPr>
            <w:r w:rsidRPr="001E687D">
              <w:rPr>
                <w:sz w:val="20"/>
                <w:szCs w:val="20"/>
              </w:rPr>
              <w:t>74 º</w:t>
            </w:r>
          </w:p>
        </w:tc>
        <w:tc>
          <w:tcPr>
            <w:tcW w:w="1134" w:type="dxa"/>
            <w:shd w:val="clear" w:color="auto" w:fill="auto"/>
            <w:noWrap/>
            <w:hideMark/>
          </w:tcPr>
          <w:p w:rsidR="00C570F2" w:rsidRPr="001E687D" w:rsidRDefault="00C570F2" w:rsidP="00C570F2">
            <w:pPr>
              <w:rPr>
                <w:sz w:val="20"/>
                <w:szCs w:val="20"/>
              </w:rPr>
            </w:pPr>
            <w:r w:rsidRPr="001E687D">
              <w:rPr>
                <w:sz w:val="20"/>
                <w:szCs w:val="20"/>
              </w:rPr>
              <w:t>80 º</w:t>
            </w:r>
          </w:p>
        </w:tc>
        <w:tc>
          <w:tcPr>
            <w:tcW w:w="992" w:type="dxa"/>
            <w:shd w:val="clear" w:color="auto" w:fill="auto"/>
            <w:noWrap/>
            <w:hideMark/>
          </w:tcPr>
          <w:p w:rsidR="00C570F2" w:rsidRPr="001E687D" w:rsidRDefault="00C570F2" w:rsidP="00C570F2">
            <w:pPr>
              <w:rPr>
                <w:sz w:val="20"/>
                <w:szCs w:val="20"/>
              </w:rPr>
            </w:pPr>
            <w:r w:rsidRPr="001E687D">
              <w:rPr>
                <w:sz w:val="20"/>
                <w:szCs w:val="20"/>
              </w:rPr>
              <w:t>79 º</w:t>
            </w:r>
          </w:p>
        </w:tc>
        <w:tc>
          <w:tcPr>
            <w:tcW w:w="992" w:type="dxa"/>
            <w:shd w:val="clear" w:color="auto" w:fill="auto"/>
            <w:noWrap/>
            <w:hideMark/>
          </w:tcPr>
          <w:p w:rsidR="00C570F2" w:rsidRPr="001E687D" w:rsidRDefault="00C570F2" w:rsidP="00C570F2">
            <w:pPr>
              <w:rPr>
                <w:sz w:val="20"/>
                <w:szCs w:val="20"/>
              </w:rPr>
            </w:pPr>
            <w:r w:rsidRPr="001E687D">
              <w:rPr>
                <w:sz w:val="20"/>
                <w:szCs w:val="20"/>
              </w:rPr>
              <w:t>72 º</w:t>
            </w:r>
          </w:p>
        </w:tc>
        <w:tc>
          <w:tcPr>
            <w:tcW w:w="993" w:type="dxa"/>
            <w:shd w:val="clear" w:color="auto" w:fill="auto"/>
            <w:noWrap/>
            <w:hideMark/>
          </w:tcPr>
          <w:p w:rsidR="00C570F2" w:rsidRPr="001E687D" w:rsidRDefault="00C570F2" w:rsidP="00C570F2">
            <w:pPr>
              <w:rPr>
                <w:sz w:val="20"/>
                <w:szCs w:val="20"/>
              </w:rPr>
            </w:pPr>
            <w:r w:rsidRPr="001E687D">
              <w:rPr>
                <w:sz w:val="20"/>
                <w:szCs w:val="20"/>
              </w:rPr>
              <w:t>70 º</w:t>
            </w:r>
          </w:p>
        </w:tc>
        <w:tc>
          <w:tcPr>
            <w:tcW w:w="1134" w:type="dxa"/>
            <w:shd w:val="clear" w:color="auto" w:fill="auto"/>
            <w:noWrap/>
            <w:hideMark/>
          </w:tcPr>
          <w:p w:rsidR="00C570F2" w:rsidRPr="001E687D" w:rsidRDefault="00C570F2" w:rsidP="00C570F2">
            <w:pPr>
              <w:rPr>
                <w:sz w:val="20"/>
                <w:szCs w:val="20"/>
              </w:rPr>
            </w:pPr>
            <w:r w:rsidRPr="001E687D">
              <w:rPr>
                <w:sz w:val="20"/>
                <w:szCs w:val="20"/>
              </w:rPr>
              <w:t>65 º</w:t>
            </w:r>
          </w:p>
        </w:tc>
        <w:tc>
          <w:tcPr>
            <w:tcW w:w="1134" w:type="dxa"/>
            <w:shd w:val="clear" w:color="auto" w:fill="auto"/>
            <w:noWrap/>
            <w:hideMark/>
          </w:tcPr>
          <w:p w:rsidR="00C570F2" w:rsidRPr="001E687D" w:rsidRDefault="00C570F2" w:rsidP="00C570F2">
            <w:pPr>
              <w:rPr>
                <w:sz w:val="20"/>
                <w:szCs w:val="20"/>
              </w:rPr>
            </w:pPr>
            <w:r w:rsidRPr="001E687D">
              <w:rPr>
                <w:sz w:val="20"/>
                <w:szCs w:val="20"/>
              </w:rPr>
              <w:t>58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Índia</w:t>
            </w:r>
          </w:p>
        </w:tc>
        <w:tc>
          <w:tcPr>
            <w:tcW w:w="992" w:type="dxa"/>
            <w:shd w:val="clear" w:color="auto" w:fill="auto"/>
            <w:noWrap/>
            <w:hideMark/>
          </w:tcPr>
          <w:p w:rsidR="006C09E4" w:rsidRPr="001E687D" w:rsidRDefault="006C09E4" w:rsidP="00172810">
            <w:pPr>
              <w:rPr>
                <w:sz w:val="20"/>
                <w:szCs w:val="20"/>
              </w:rPr>
            </w:pPr>
            <w:r w:rsidRPr="001E687D">
              <w:rPr>
                <w:sz w:val="20"/>
                <w:szCs w:val="20"/>
              </w:rPr>
              <w:t>66 º</w:t>
            </w:r>
          </w:p>
        </w:tc>
        <w:tc>
          <w:tcPr>
            <w:tcW w:w="1134" w:type="dxa"/>
            <w:shd w:val="clear" w:color="auto" w:fill="auto"/>
            <w:noWrap/>
            <w:hideMark/>
          </w:tcPr>
          <w:p w:rsidR="006C09E4" w:rsidRPr="001E687D" w:rsidRDefault="006C09E4" w:rsidP="00172810">
            <w:pPr>
              <w:rPr>
                <w:sz w:val="20"/>
                <w:szCs w:val="20"/>
              </w:rPr>
            </w:pPr>
            <w:r w:rsidRPr="001E687D">
              <w:rPr>
                <w:sz w:val="20"/>
                <w:szCs w:val="20"/>
              </w:rPr>
              <w:t>65 º</w:t>
            </w:r>
          </w:p>
        </w:tc>
        <w:tc>
          <w:tcPr>
            <w:tcW w:w="992" w:type="dxa"/>
            <w:shd w:val="clear" w:color="auto" w:fill="auto"/>
            <w:noWrap/>
            <w:hideMark/>
          </w:tcPr>
          <w:p w:rsidR="006C09E4" w:rsidRPr="001E687D" w:rsidRDefault="006C09E4" w:rsidP="00172810">
            <w:pPr>
              <w:rPr>
                <w:sz w:val="20"/>
                <w:szCs w:val="20"/>
              </w:rPr>
            </w:pPr>
            <w:r w:rsidRPr="001E687D">
              <w:rPr>
                <w:sz w:val="20"/>
                <w:szCs w:val="20"/>
              </w:rPr>
              <w:t>71 º</w:t>
            </w:r>
          </w:p>
        </w:tc>
        <w:tc>
          <w:tcPr>
            <w:tcW w:w="992" w:type="dxa"/>
            <w:shd w:val="clear" w:color="auto" w:fill="auto"/>
            <w:noWrap/>
            <w:hideMark/>
          </w:tcPr>
          <w:p w:rsidR="006C09E4" w:rsidRPr="001E687D" w:rsidRDefault="006C09E4" w:rsidP="00172810">
            <w:pPr>
              <w:rPr>
                <w:sz w:val="20"/>
                <w:szCs w:val="20"/>
              </w:rPr>
            </w:pPr>
            <w:r w:rsidRPr="001E687D">
              <w:rPr>
                <w:sz w:val="20"/>
                <w:szCs w:val="20"/>
              </w:rPr>
              <w:t>67 º</w:t>
            </w:r>
          </w:p>
        </w:tc>
        <w:tc>
          <w:tcPr>
            <w:tcW w:w="993" w:type="dxa"/>
            <w:shd w:val="clear" w:color="auto" w:fill="auto"/>
            <w:noWrap/>
            <w:hideMark/>
          </w:tcPr>
          <w:p w:rsidR="006C09E4" w:rsidRPr="001E687D" w:rsidRDefault="006C09E4" w:rsidP="00172810">
            <w:pPr>
              <w:rPr>
                <w:sz w:val="20"/>
                <w:szCs w:val="20"/>
              </w:rPr>
            </w:pPr>
            <w:r w:rsidRPr="001E687D">
              <w:rPr>
                <w:sz w:val="20"/>
                <w:szCs w:val="20"/>
              </w:rPr>
              <w:t>68 º</w:t>
            </w:r>
          </w:p>
        </w:tc>
        <w:tc>
          <w:tcPr>
            <w:tcW w:w="1134" w:type="dxa"/>
            <w:shd w:val="clear" w:color="auto" w:fill="auto"/>
            <w:noWrap/>
            <w:hideMark/>
          </w:tcPr>
          <w:p w:rsidR="006C09E4" w:rsidRPr="001E687D" w:rsidRDefault="006C09E4" w:rsidP="00172810">
            <w:pPr>
              <w:rPr>
                <w:sz w:val="20"/>
                <w:szCs w:val="20"/>
              </w:rPr>
            </w:pPr>
            <w:r w:rsidRPr="001E687D">
              <w:rPr>
                <w:sz w:val="20"/>
                <w:szCs w:val="20"/>
              </w:rPr>
              <w:t>61 º</w:t>
            </w:r>
          </w:p>
        </w:tc>
        <w:tc>
          <w:tcPr>
            <w:tcW w:w="1134" w:type="dxa"/>
            <w:shd w:val="clear" w:color="auto" w:fill="auto"/>
            <w:noWrap/>
            <w:hideMark/>
          </w:tcPr>
          <w:p w:rsidR="006C09E4" w:rsidRPr="001E687D" w:rsidRDefault="006C09E4" w:rsidP="00172810">
            <w:pPr>
              <w:rPr>
                <w:sz w:val="20"/>
                <w:szCs w:val="20"/>
              </w:rPr>
            </w:pPr>
            <w:r w:rsidRPr="001E687D">
              <w:rPr>
                <w:sz w:val="20"/>
                <w:szCs w:val="20"/>
              </w:rPr>
              <w:t>71 º</w:t>
            </w:r>
          </w:p>
        </w:tc>
      </w:tr>
      <w:tr w:rsidR="004B4EA8" w:rsidRPr="001E687D" w:rsidTr="00EC08F1">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R</w:t>
            </w:r>
            <w:r w:rsidR="000C582D" w:rsidRPr="001E687D">
              <w:rPr>
                <w:sz w:val="20"/>
                <w:szCs w:val="20"/>
              </w:rPr>
              <w:t>ú</w:t>
            </w:r>
            <w:r w:rsidRPr="001E687D">
              <w:rPr>
                <w:sz w:val="20"/>
                <w:szCs w:val="20"/>
              </w:rPr>
              <w:t>ssia</w:t>
            </w:r>
          </w:p>
        </w:tc>
        <w:tc>
          <w:tcPr>
            <w:tcW w:w="992" w:type="dxa"/>
            <w:shd w:val="clear" w:color="auto" w:fill="auto"/>
            <w:noWrap/>
            <w:hideMark/>
          </w:tcPr>
          <w:p w:rsidR="00C570F2" w:rsidRPr="001E687D" w:rsidRDefault="00C570F2" w:rsidP="00C570F2">
            <w:pPr>
              <w:rPr>
                <w:sz w:val="20"/>
                <w:szCs w:val="20"/>
              </w:rPr>
            </w:pPr>
            <w:r w:rsidRPr="001E687D">
              <w:rPr>
                <w:sz w:val="20"/>
                <w:szCs w:val="20"/>
              </w:rPr>
              <w:t>88 º</w:t>
            </w:r>
          </w:p>
        </w:tc>
        <w:tc>
          <w:tcPr>
            <w:tcW w:w="1134" w:type="dxa"/>
            <w:shd w:val="clear" w:color="auto" w:fill="auto"/>
            <w:noWrap/>
            <w:hideMark/>
          </w:tcPr>
          <w:p w:rsidR="00C570F2" w:rsidRPr="001E687D" w:rsidRDefault="00C570F2" w:rsidP="00C570F2">
            <w:pPr>
              <w:rPr>
                <w:sz w:val="20"/>
                <w:szCs w:val="20"/>
              </w:rPr>
            </w:pPr>
            <w:r w:rsidRPr="001E687D">
              <w:rPr>
                <w:sz w:val="20"/>
                <w:szCs w:val="20"/>
              </w:rPr>
              <w:t>92 º</w:t>
            </w:r>
          </w:p>
        </w:tc>
        <w:tc>
          <w:tcPr>
            <w:tcW w:w="992" w:type="dxa"/>
            <w:shd w:val="clear" w:color="auto" w:fill="auto"/>
            <w:noWrap/>
            <w:hideMark/>
          </w:tcPr>
          <w:p w:rsidR="00C570F2" w:rsidRPr="001E687D" w:rsidRDefault="00C570F2" w:rsidP="00C570F2">
            <w:pPr>
              <w:rPr>
                <w:sz w:val="20"/>
                <w:szCs w:val="20"/>
              </w:rPr>
            </w:pPr>
            <w:r w:rsidRPr="001E687D">
              <w:rPr>
                <w:sz w:val="20"/>
                <w:szCs w:val="20"/>
              </w:rPr>
              <w:t>104 º</w:t>
            </w:r>
          </w:p>
        </w:tc>
        <w:tc>
          <w:tcPr>
            <w:tcW w:w="992" w:type="dxa"/>
            <w:shd w:val="clear" w:color="auto" w:fill="auto"/>
            <w:noWrap/>
            <w:hideMark/>
          </w:tcPr>
          <w:p w:rsidR="00C570F2" w:rsidRPr="001E687D" w:rsidRDefault="00C570F2" w:rsidP="00C570F2">
            <w:pPr>
              <w:rPr>
                <w:sz w:val="20"/>
                <w:szCs w:val="20"/>
              </w:rPr>
            </w:pPr>
            <w:r w:rsidRPr="001E687D">
              <w:rPr>
                <w:sz w:val="20"/>
                <w:szCs w:val="20"/>
              </w:rPr>
              <w:t>105 º</w:t>
            </w:r>
          </w:p>
        </w:tc>
        <w:tc>
          <w:tcPr>
            <w:tcW w:w="993" w:type="dxa"/>
            <w:shd w:val="clear" w:color="auto" w:fill="auto"/>
            <w:noWrap/>
            <w:hideMark/>
          </w:tcPr>
          <w:p w:rsidR="00C570F2" w:rsidRPr="001E687D" w:rsidRDefault="00C570F2" w:rsidP="00C570F2">
            <w:pPr>
              <w:rPr>
                <w:sz w:val="20"/>
                <w:szCs w:val="20"/>
              </w:rPr>
            </w:pPr>
            <w:r w:rsidRPr="001E687D">
              <w:rPr>
                <w:sz w:val="20"/>
                <w:szCs w:val="20"/>
              </w:rPr>
              <w:t>104 º</w:t>
            </w:r>
          </w:p>
        </w:tc>
        <w:tc>
          <w:tcPr>
            <w:tcW w:w="1134" w:type="dxa"/>
            <w:shd w:val="clear" w:color="auto" w:fill="auto"/>
            <w:noWrap/>
            <w:hideMark/>
          </w:tcPr>
          <w:p w:rsidR="00C570F2" w:rsidRPr="001E687D" w:rsidRDefault="00C570F2" w:rsidP="00C570F2">
            <w:pPr>
              <w:rPr>
                <w:sz w:val="20"/>
                <w:szCs w:val="20"/>
              </w:rPr>
            </w:pPr>
            <w:r w:rsidRPr="001E687D">
              <w:rPr>
                <w:sz w:val="20"/>
                <w:szCs w:val="20"/>
              </w:rPr>
              <w:t>102 º</w:t>
            </w:r>
          </w:p>
        </w:tc>
        <w:tc>
          <w:tcPr>
            <w:tcW w:w="1134" w:type="dxa"/>
            <w:shd w:val="clear" w:color="auto" w:fill="auto"/>
            <w:noWrap/>
            <w:hideMark/>
          </w:tcPr>
          <w:p w:rsidR="00C570F2" w:rsidRPr="001E687D" w:rsidRDefault="00C570F2" w:rsidP="00C570F2">
            <w:pPr>
              <w:rPr>
                <w:sz w:val="20"/>
                <w:szCs w:val="20"/>
              </w:rPr>
            </w:pPr>
            <w:r w:rsidRPr="001E687D">
              <w:rPr>
                <w:sz w:val="20"/>
                <w:szCs w:val="20"/>
              </w:rPr>
              <w:t>79 º</w:t>
            </w:r>
          </w:p>
        </w:tc>
      </w:tr>
      <w:tr w:rsidR="006C09E4" w:rsidRPr="001E687D" w:rsidTr="00172810">
        <w:trPr>
          <w:trHeight w:val="300"/>
        </w:trPr>
        <w:tc>
          <w:tcPr>
            <w:tcW w:w="1560" w:type="dxa"/>
            <w:shd w:val="clear" w:color="auto" w:fill="auto"/>
            <w:noWrap/>
            <w:hideMark/>
          </w:tcPr>
          <w:p w:rsidR="006C09E4" w:rsidRPr="001E687D" w:rsidRDefault="006C09E4" w:rsidP="00172810">
            <w:pPr>
              <w:rPr>
                <w:sz w:val="20"/>
                <w:szCs w:val="20"/>
              </w:rPr>
            </w:pPr>
            <w:r w:rsidRPr="001E687D">
              <w:rPr>
                <w:sz w:val="20"/>
                <w:szCs w:val="20"/>
              </w:rPr>
              <w:t>Argentina</w:t>
            </w:r>
          </w:p>
        </w:tc>
        <w:tc>
          <w:tcPr>
            <w:tcW w:w="992" w:type="dxa"/>
            <w:shd w:val="clear" w:color="auto" w:fill="auto"/>
            <w:noWrap/>
            <w:hideMark/>
          </w:tcPr>
          <w:p w:rsidR="006C09E4" w:rsidRPr="001E687D" w:rsidRDefault="006C09E4" w:rsidP="00172810">
            <w:pPr>
              <w:rPr>
                <w:sz w:val="20"/>
                <w:szCs w:val="20"/>
              </w:rPr>
            </w:pPr>
            <w:r w:rsidRPr="001E687D">
              <w:rPr>
                <w:sz w:val="20"/>
                <w:szCs w:val="20"/>
              </w:rPr>
              <w:t>123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113 º</w:t>
            </w:r>
          </w:p>
        </w:tc>
        <w:tc>
          <w:tcPr>
            <w:tcW w:w="992" w:type="dxa"/>
            <w:shd w:val="clear" w:color="auto" w:fill="auto"/>
            <w:noWrap/>
            <w:hideMark/>
          </w:tcPr>
          <w:p w:rsidR="006C09E4" w:rsidRPr="001E687D" w:rsidRDefault="006C09E4" w:rsidP="00172810">
            <w:pPr>
              <w:rPr>
                <w:sz w:val="20"/>
                <w:szCs w:val="20"/>
              </w:rPr>
            </w:pPr>
            <w:r w:rsidRPr="001E687D">
              <w:rPr>
                <w:sz w:val="20"/>
                <w:szCs w:val="20"/>
              </w:rPr>
              <w:t>115 º</w:t>
            </w:r>
          </w:p>
        </w:tc>
        <w:tc>
          <w:tcPr>
            <w:tcW w:w="992" w:type="dxa"/>
            <w:shd w:val="clear" w:color="auto" w:fill="auto"/>
            <w:noWrap/>
            <w:hideMark/>
          </w:tcPr>
          <w:p w:rsidR="006C09E4" w:rsidRPr="001E687D" w:rsidRDefault="006C09E4" w:rsidP="00172810">
            <w:pPr>
              <w:rPr>
                <w:sz w:val="20"/>
                <w:szCs w:val="20"/>
              </w:rPr>
            </w:pPr>
            <w:r w:rsidRPr="001E687D">
              <w:rPr>
                <w:sz w:val="20"/>
                <w:szCs w:val="20"/>
              </w:rPr>
              <w:t>119 º</w:t>
            </w:r>
          </w:p>
        </w:tc>
        <w:tc>
          <w:tcPr>
            <w:tcW w:w="993" w:type="dxa"/>
            <w:shd w:val="clear" w:color="auto" w:fill="auto"/>
            <w:noWrap/>
            <w:hideMark/>
          </w:tcPr>
          <w:p w:rsidR="006C09E4" w:rsidRPr="001E687D" w:rsidRDefault="006C09E4" w:rsidP="00172810">
            <w:pPr>
              <w:rPr>
                <w:sz w:val="20"/>
                <w:szCs w:val="20"/>
              </w:rPr>
            </w:pPr>
            <w:r w:rsidRPr="001E687D">
              <w:rPr>
                <w:sz w:val="20"/>
                <w:szCs w:val="20"/>
              </w:rPr>
              <w:t>115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111 º</w:t>
            </w:r>
          </w:p>
        </w:tc>
        <w:tc>
          <w:tcPr>
            <w:tcW w:w="1134" w:type="dxa"/>
            <w:shd w:val="clear" w:color="auto" w:fill="auto"/>
            <w:noWrap/>
            <w:hideMark/>
          </w:tcPr>
          <w:p w:rsidR="006C09E4" w:rsidRPr="001E687D" w:rsidRDefault="006C09E4" w:rsidP="00172810">
            <w:pPr>
              <w:rPr>
                <w:sz w:val="20"/>
                <w:szCs w:val="20"/>
              </w:rPr>
            </w:pPr>
            <w:r w:rsidRPr="001E687D">
              <w:rPr>
                <w:sz w:val="20"/>
                <w:szCs w:val="20"/>
              </w:rPr>
              <w:t>107 º</w:t>
            </w:r>
          </w:p>
        </w:tc>
      </w:tr>
      <w:tr w:rsidR="004B4EA8" w:rsidRPr="001E687D" w:rsidTr="00EC08F1">
        <w:trPr>
          <w:trHeight w:val="300"/>
        </w:trPr>
        <w:tc>
          <w:tcPr>
            <w:tcW w:w="1560" w:type="dxa"/>
            <w:shd w:val="clear" w:color="auto" w:fill="auto"/>
            <w:noWrap/>
            <w:hideMark/>
          </w:tcPr>
          <w:p w:rsidR="00C570F2" w:rsidRPr="001E687D" w:rsidRDefault="00C570F2" w:rsidP="00C570F2">
            <w:pPr>
              <w:rPr>
                <w:sz w:val="20"/>
                <w:szCs w:val="20"/>
              </w:rPr>
            </w:pPr>
            <w:r w:rsidRPr="001E687D">
              <w:rPr>
                <w:sz w:val="20"/>
                <w:szCs w:val="20"/>
              </w:rPr>
              <w:t>Brasil</w:t>
            </w:r>
          </w:p>
        </w:tc>
        <w:tc>
          <w:tcPr>
            <w:tcW w:w="992" w:type="dxa"/>
            <w:shd w:val="clear" w:color="auto" w:fill="auto"/>
            <w:noWrap/>
            <w:hideMark/>
          </w:tcPr>
          <w:p w:rsidR="00C570F2" w:rsidRPr="001E687D" w:rsidRDefault="00C570F2" w:rsidP="00C570F2">
            <w:pPr>
              <w:rPr>
                <w:sz w:val="20"/>
                <w:szCs w:val="20"/>
              </w:rPr>
            </w:pPr>
            <w:r w:rsidRPr="001E687D">
              <w:rPr>
                <w:sz w:val="20"/>
                <w:szCs w:val="20"/>
              </w:rPr>
              <w:t>101 º</w:t>
            </w:r>
          </w:p>
        </w:tc>
        <w:tc>
          <w:tcPr>
            <w:tcW w:w="1134" w:type="dxa"/>
            <w:shd w:val="clear" w:color="auto" w:fill="auto"/>
            <w:noWrap/>
            <w:hideMark/>
          </w:tcPr>
          <w:p w:rsidR="00C570F2" w:rsidRPr="001E687D" w:rsidRDefault="00C570F2" w:rsidP="00C570F2">
            <w:pPr>
              <w:rPr>
                <w:sz w:val="20"/>
                <w:szCs w:val="20"/>
              </w:rPr>
            </w:pPr>
            <w:r w:rsidRPr="001E687D">
              <w:rPr>
                <w:sz w:val="20"/>
                <w:szCs w:val="20"/>
              </w:rPr>
              <w:t>89 º</w:t>
            </w:r>
          </w:p>
        </w:tc>
        <w:tc>
          <w:tcPr>
            <w:tcW w:w="992" w:type="dxa"/>
            <w:shd w:val="clear" w:color="auto" w:fill="auto"/>
            <w:noWrap/>
            <w:hideMark/>
          </w:tcPr>
          <w:p w:rsidR="00C570F2" w:rsidRPr="001E687D" w:rsidRDefault="00C570F2" w:rsidP="00C570F2">
            <w:pPr>
              <w:rPr>
                <w:sz w:val="20"/>
                <w:szCs w:val="20"/>
              </w:rPr>
            </w:pPr>
            <w:r w:rsidRPr="001E687D">
              <w:rPr>
                <w:sz w:val="20"/>
                <w:szCs w:val="20"/>
              </w:rPr>
              <w:t>93 º</w:t>
            </w:r>
          </w:p>
        </w:tc>
        <w:tc>
          <w:tcPr>
            <w:tcW w:w="992" w:type="dxa"/>
            <w:shd w:val="clear" w:color="auto" w:fill="auto"/>
            <w:noWrap/>
            <w:hideMark/>
          </w:tcPr>
          <w:p w:rsidR="00C570F2" w:rsidRPr="001E687D" w:rsidRDefault="00C570F2" w:rsidP="00C570F2">
            <w:pPr>
              <w:rPr>
                <w:sz w:val="20"/>
                <w:szCs w:val="20"/>
              </w:rPr>
            </w:pPr>
            <w:r w:rsidRPr="001E687D">
              <w:rPr>
                <w:sz w:val="20"/>
                <w:szCs w:val="20"/>
              </w:rPr>
              <w:t>122 º</w:t>
            </w:r>
          </w:p>
        </w:tc>
        <w:tc>
          <w:tcPr>
            <w:tcW w:w="993" w:type="dxa"/>
            <w:shd w:val="clear" w:color="auto" w:fill="auto"/>
            <w:noWrap/>
            <w:hideMark/>
          </w:tcPr>
          <w:p w:rsidR="00C570F2" w:rsidRPr="001E687D" w:rsidRDefault="00C570F2" w:rsidP="00C570F2">
            <w:pPr>
              <w:rPr>
                <w:sz w:val="20"/>
                <w:szCs w:val="20"/>
              </w:rPr>
            </w:pPr>
            <w:r w:rsidRPr="001E687D">
              <w:rPr>
                <w:sz w:val="20"/>
                <w:szCs w:val="20"/>
              </w:rPr>
              <w:t>134 º</w:t>
            </w:r>
          </w:p>
        </w:tc>
        <w:tc>
          <w:tcPr>
            <w:tcW w:w="1134" w:type="dxa"/>
            <w:shd w:val="clear" w:color="auto" w:fill="auto"/>
            <w:noWrap/>
            <w:hideMark/>
          </w:tcPr>
          <w:p w:rsidR="00C570F2" w:rsidRPr="001E687D" w:rsidRDefault="00C570F2" w:rsidP="00C570F2">
            <w:pPr>
              <w:rPr>
                <w:sz w:val="20"/>
                <w:szCs w:val="20"/>
              </w:rPr>
            </w:pPr>
            <w:r w:rsidRPr="001E687D">
              <w:rPr>
                <w:sz w:val="20"/>
                <w:szCs w:val="20"/>
              </w:rPr>
              <w:t>123 º</w:t>
            </w:r>
          </w:p>
        </w:tc>
        <w:tc>
          <w:tcPr>
            <w:tcW w:w="1134" w:type="dxa"/>
            <w:shd w:val="clear" w:color="auto" w:fill="auto"/>
            <w:noWrap/>
            <w:hideMark/>
          </w:tcPr>
          <w:p w:rsidR="00C570F2" w:rsidRPr="001E687D" w:rsidRDefault="00C570F2" w:rsidP="00C570F2">
            <w:pPr>
              <w:rPr>
                <w:sz w:val="20"/>
                <w:szCs w:val="20"/>
              </w:rPr>
            </w:pPr>
            <w:r w:rsidRPr="001E687D">
              <w:rPr>
                <w:sz w:val="20"/>
                <w:szCs w:val="20"/>
              </w:rPr>
              <w:t>113 º</w:t>
            </w:r>
          </w:p>
        </w:tc>
      </w:tr>
    </w:tbl>
    <w:p w:rsidR="003C2F63" w:rsidRPr="000476A7" w:rsidRDefault="008E1546" w:rsidP="00D67704">
      <w:pPr>
        <w:pStyle w:val="Ttulo0"/>
        <w:rPr>
          <w:sz w:val="26"/>
          <w:szCs w:val="26"/>
        </w:rPr>
      </w:pPr>
      <w:bookmarkStart w:id="15" w:name="_Toc442974384"/>
      <w:r>
        <w:rPr>
          <w:sz w:val="26"/>
          <w:szCs w:val="26"/>
        </w:rPr>
        <w:t>3</w:t>
      </w:r>
      <w:r w:rsidR="003C2F63" w:rsidRPr="000476A7">
        <w:rPr>
          <w:sz w:val="26"/>
          <w:szCs w:val="26"/>
        </w:rPr>
        <w:t>.</w:t>
      </w:r>
      <w:r w:rsidR="00E65B64" w:rsidRPr="000476A7">
        <w:rPr>
          <w:sz w:val="26"/>
          <w:szCs w:val="26"/>
        </w:rPr>
        <w:t>2</w:t>
      </w:r>
      <w:r w:rsidR="003C2F63" w:rsidRPr="000476A7">
        <w:rPr>
          <w:sz w:val="26"/>
          <w:szCs w:val="26"/>
        </w:rPr>
        <w:t xml:space="preserve">.5 </w:t>
      </w:r>
      <w:r w:rsidR="00DE0F00" w:rsidRPr="000476A7">
        <w:rPr>
          <w:sz w:val="26"/>
          <w:szCs w:val="26"/>
        </w:rPr>
        <w:t>Resumo da Qualidade Dos Modais de transporte</w:t>
      </w:r>
      <w:bookmarkEnd w:id="15"/>
      <w:r w:rsidR="003C2F63" w:rsidRPr="000476A7">
        <w:rPr>
          <w:sz w:val="26"/>
          <w:szCs w:val="26"/>
        </w:rPr>
        <w:t xml:space="preserve"> </w:t>
      </w:r>
    </w:p>
    <w:p w:rsidR="0038638A" w:rsidRPr="001E687D" w:rsidRDefault="00E2791C" w:rsidP="00033D16">
      <w:pPr>
        <w:spacing w:after="1080"/>
        <w:ind w:firstLine="1418"/>
        <w:jc w:val="both"/>
        <w:rPr>
          <w:sz w:val="20"/>
          <w:szCs w:val="20"/>
        </w:rPr>
      </w:pPr>
      <w:r w:rsidRPr="000476A7">
        <w:rPr>
          <w:sz w:val="26"/>
          <w:szCs w:val="26"/>
        </w:rPr>
        <w:t xml:space="preserve">Como visto, a posição relativa do Brasil nos </w:t>
      </w:r>
      <w:r w:rsidRPr="000476A7">
        <w:rPr>
          <w:i/>
          <w:sz w:val="26"/>
          <w:szCs w:val="26"/>
        </w:rPr>
        <w:t>rankings</w:t>
      </w:r>
      <w:r w:rsidRPr="000476A7">
        <w:rPr>
          <w:sz w:val="26"/>
          <w:szCs w:val="26"/>
        </w:rPr>
        <w:t xml:space="preserve"> internacionais de competitividade, no quesito infraestrutura de transportes não é favorável ao desenvolvimento da economia nacional.</w:t>
      </w:r>
      <w:r w:rsidR="001B4CB0" w:rsidRPr="000476A7">
        <w:rPr>
          <w:sz w:val="26"/>
          <w:szCs w:val="26"/>
        </w:rPr>
        <w:t xml:space="preserve"> Quando os modais são visualizados de forma conjunta</w:t>
      </w:r>
      <w:r w:rsidRPr="000476A7">
        <w:rPr>
          <w:sz w:val="26"/>
          <w:szCs w:val="26"/>
        </w:rPr>
        <w:t xml:space="preserve">, percebe-se que o modal ferroviário, </w:t>
      </w:r>
      <w:r w:rsidR="006C09E4">
        <w:rPr>
          <w:sz w:val="26"/>
          <w:szCs w:val="26"/>
        </w:rPr>
        <w:t>majoritariamente</w:t>
      </w:r>
      <w:r w:rsidR="001B4CB0" w:rsidRPr="000476A7">
        <w:rPr>
          <w:sz w:val="26"/>
          <w:szCs w:val="26"/>
        </w:rPr>
        <w:t xml:space="preserve"> privado, é o que obtém uma posição menos desfavorável em relação a outros países</w:t>
      </w:r>
      <w:r w:rsidR="006C09E4">
        <w:rPr>
          <w:sz w:val="26"/>
          <w:szCs w:val="26"/>
        </w:rPr>
        <w:t xml:space="preserve">, apesar da suspensão </w:t>
      </w:r>
      <w:r w:rsidR="001D3B6D">
        <w:rPr>
          <w:sz w:val="26"/>
          <w:szCs w:val="26"/>
        </w:rPr>
        <w:t xml:space="preserve">parcial </w:t>
      </w:r>
      <w:r w:rsidR="006C09E4">
        <w:rPr>
          <w:sz w:val="26"/>
          <w:szCs w:val="26"/>
        </w:rPr>
        <w:t>de investimentos</w:t>
      </w:r>
      <w:r w:rsidR="001D3B6D">
        <w:rPr>
          <w:sz w:val="26"/>
          <w:szCs w:val="26"/>
        </w:rPr>
        <w:t xml:space="preserve"> privados em razão de </w:t>
      </w:r>
      <w:r w:rsidR="006C09E4">
        <w:rPr>
          <w:sz w:val="26"/>
          <w:szCs w:val="26"/>
        </w:rPr>
        <w:t>anúncios de mudança do marco regulatório</w:t>
      </w:r>
      <w:r w:rsidR="001D3B6D">
        <w:rPr>
          <w:sz w:val="26"/>
          <w:szCs w:val="26"/>
        </w:rPr>
        <w:t xml:space="preserve"> e de incerteza quanto à prorrogação dos contratos de 30 anos das atuais concessionárias.</w:t>
      </w:r>
    </w:p>
    <w:p w:rsidR="001E687D" w:rsidRDefault="001E687D" w:rsidP="001E687D">
      <w:pPr>
        <w:pStyle w:val="Legenda"/>
        <w:keepNext/>
      </w:pPr>
      <w:r>
        <w:t xml:space="preserve">Tabela </w:t>
      </w:r>
      <w:fldSimple w:instr=" SEQ Tabela \* ARABIC ">
        <w:r w:rsidR="00780B83">
          <w:rPr>
            <w:noProof/>
          </w:rPr>
          <w:t>12</w:t>
        </w:r>
      </w:fldSimple>
      <w:r>
        <w:t xml:space="preserve"> </w:t>
      </w:r>
      <w:r w:rsidRPr="001E687D">
        <w:t xml:space="preserve">– Ranking dos Diversos Modais de Transporte Brasileiro no </w:t>
      </w:r>
      <w:r w:rsidRPr="001E687D">
        <w:rPr>
          <w:i/>
        </w:rPr>
        <w:t>World Economic Forum</w:t>
      </w:r>
    </w:p>
    <w:tbl>
      <w:tblPr>
        <w:tblW w:w="85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7"/>
        <w:gridCol w:w="976"/>
        <w:gridCol w:w="976"/>
        <w:gridCol w:w="976"/>
        <w:gridCol w:w="976"/>
        <w:gridCol w:w="976"/>
        <w:gridCol w:w="976"/>
        <w:gridCol w:w="976"/>
      </w:tblGrid>
      <w:tr w:rsidR="00E2791C" w:rsidRPr="001E687D" w:rsidTr="00E2791C">
        <w:trPr>
          <w:trHeight w:val="300"/>
        </w:trPr>
        <w:tc>
          <w:tcPr>
            <w:tcW w:w="1727" w:type="dxa"/>
            <w:shd w:val="clear" w:color="auto" w:fill="auto"/>
            <w:noWrap/>
            <w:vAlign w:val="bottom"/>
            <w:hideMark/>
          </w:tcPr>
          <w:p w:rsidR="00E2791C" w:rsidRPr="001E687D" w:rsidRDefault="00E2791C" w:rsidP="00E2791C">
            <w:pPr>
              <w:rPr>
                <w:sz w:val="20"/>
                <w:szCs w:val="20"/>
              </w:rPr>
            </w:pPr>
            <w:r w:rsidRPr="001E687D">
              <w:rPr>
                <w:sz w:val="20"/>
                <w:szCs w:val="20"/>
              </w:rPr>
              <w:t>Modal</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2008-2009</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2009-2010</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2010-2011</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2011-2012</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2012-2013</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2013-2014</w:t>
            </w:r>
          </w:p>
        </w:tc>
        <w:tc>
          <w:tcPr>
            <w:tcW w:w="976" w:type="dxa"/>
            <w:shd w:val="clear" w:color="auto" w:fill="auto"/>
            <w:noWrap/>
            <w:vAlign w:val="bottom"/>
            <w:hideMark/>
          </w:tcPr>
          <w:p w:rsidR="00E2791C" w:rsidRPr="001E687D" w:rsidRDefault="00E2791C" w:rsidP="00E2791C">
            <w:pPr>
              <w:rPr>
                <w:b/>
                <w:sz w:val="20"/>
                <w:szCs w:val="20"/>
              </w:rPr>
            </w:pPr>
            <w:r w:rsidRPr="001E687D">
              <w:rPr>
                <w:b/>
                <w:sz w:val="20"/>
                <w:szCs w:val="20"/>
              </w:rPr>
              <w:t>2014-2015</w:t>
            </w:r>
          </w:p>
        </w:tc>
      </w:tr>
      <w:tr w:rsidR="006C09E4" w:rsidRPr="001E687D" w:rsidTr="00172810">
        <w:trPr>
          <w:trHeight w:val="300"/>
        </w:trPr>
        <w:tc>
          <w:tcPr>
            <w:tcW w:w="1727" w:type="dxa"/>
            <w:shd w:val="clear" w:color="auto" w:fill="auto"/>
            <w:noWrap/>
            <w:vAlign w:val="bottom"/>
            <w:hideMark/>
          </w:tcPr>
          <w:p w:rsidR="006C09E4" w:rsidRPr="001E687D" w:rsidRDefault="006C09E4" w:rsidP="00172810">
            <w:pPr>
              <w:rPr>
                <w:sz w:val="20"/>
                <w:szCs w:val="20"/>
              </w:rPr>
            </w:pPr>
            <w:r w:rsidRPr="001E687D">
              <w:rPr>
                <w:sz w:val="20"/>
                <w:szCs w:val="20"/>
              </w:rPr>
              <w:t>Ferroviário</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86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86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87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91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100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103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95 º</w:t>
            </w:r>
          </w:p>
        </w:tc>
      </w:tr>
      <w:tr w:rsidR="006C09E4" w:rsidRPr="001E687D" w:rsidTr="00172810">
        <w:trPr>
          <w:trHeight w:val="300"/>
        </w:trPr>
        <w:tc>
          <w:tcPr>
            <w:tcW w:w="1727" w:type="dxa"/>
            <w:shd w:val="clear" w:color="auto" w:fill="auto"/>
            <w:noWrap/>
            <w:vAlign w:val="bottom"/>
            <w:hideMark/>
          </w:tcPr>
          <w:p w:rsidR="006C09E4" w:rsidRPr="001E687D" w:rsidRDefault="006C09E4" w:rsidP="00172810">
            <w:pPr>
              <w:rPr>
                <w:sz w:val="20"/>
                <w:szCs w:val="20"/>
              </w:rPr>
            </w:pPr>
            <w:r w:rsidRPr="001E687D">
              <w:rPr>
                <w:sz w:val="20"/>
                <w:szCs w:val="20"/>
              </w:rPr>
              <w:t>Aeroportuário</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101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89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93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122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134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123 º</w:t>
            </w:r>
          </w:p>
        </w:tc>
        <w:tc>
          <w:tcPr>
            <w:tcW w:w="976" w:type="dxa"/>
            <w:shd w:val="clear" w:color="auto" w:fill="auto"/>
            <w:noWrap/>
            <w:vAlign w:val="bottom"/>
            <w:hideMark/>
          </w:tcPr>
          <w:p w:rsidR="006C09E4" w:rsidRPr="001E687D" w:rsidRDefault="006C09E4" w:rsidP="00172810">
            <w:pPr>
              <w:jc w:val="right"/>
              <w:rPr>
                <w:sz w:val="20"/>
                <w:szCs w:val="20"/>
              </w:rPr>
            </w:pPr>
            <w:r w:rsidRPr="001E687D">
              <w:rPr>
                <w:sz w:val="20"/>
                <w:szCs w:val="20"/>
              </w:rPr>
              <w:t>113 º</w:t>
            </w:r>
          </w:p>
        </w:tc>
      </w:tr>
      <w:tr w:rsidR="00E2791C" w:rsidRPr="001E687D" w:rsidTr="00E2791C">
        <w:trPr>
          <w:trHeight w:val="300"/>
        </w:trPr>
        <w:tc>
          <w:tcPr>
            <w:tcW w:w="1727" w:type="dxa"/>
            <w:shd w:val="clear" w:color="auto" w:fill="auto"/>
            <w:noWrap/>
            <w:vAlign w:val="bottom"/>
            <w:hideMark/>
          </w:tcPr>
          <w:p w:rsidR="00E2791C" w:rsidRPr="001E687D" w:rsidRDefault="00E2791C" w:rsidP="00E2791C">
            <w:pPr>
              <w:rPr>
                <w:sz w:val="20"/>
                <w:szCs w:val="20"/>
              </w:rPr>
            </w:pPr>
            <w:r w:rsidRPr="001E687D">
              <w:rPr>
                <w:sz w:val="20"/>
                <w:szCs w:val="20"/>
              </w:rPr>
              <w:t>Rodoviário</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110</w:t>
            </w:r>
            <w:r w:rsidR="00C569C6" w:rsidRPr="001E687D">
              <w:rPr>
                <w:sz w:val="20"/>
                <w:szCs w:val="20"/>
              </w:rPr>
              <w:t>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106</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105</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118</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123</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120</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122</w:t>
            </w:r>
            <w:r w:rsidR="00C569C6" w:rsidRPr="001E687D">
              <w:rPr>
                <w:sz w:val="20"/>
                <w:szCs w:val="20"/>
              </w:rPr>
              <w:t xml:space="preserve"> º</w:t>
            </w:r>
          </w:p>
        </w:tc>
      </w:tr>
      <w:tr w:rsidR="00E2791C" w:rsidRPr="001E687D" w:rsidTr="00E2791C">
        <w:trPr>
          <w:trHeight w:val="300"/>
        </w:trPr>
        <w:tc>
          <w:tcPr>
            <w:tcW w:w="1727" w:type="dxa"/>
            <w:shd w:val="clear" w:color="auto" w:fill="auto"/>
            <w:noWrap/>
            <w:vAlign w:val="bottom"/>
            <w:hideMark/>
          </w:tcPr>
          <w:p w:rsidR="00E2791C" w:rsidRPr="001E687D" w:rsidRDefault="00E2791C" w:rsidP="00E2791C">
            <w:pPr>
              <w:rPr>
                <w:sz w:val="20"/>
                <w:szCs w:val="20"/>
              </w:rPr>
            </w:pPr>
            <w:r w:rsidRPr="001E687D">
              <w:rPr>
                <w:sz w:val="20"/>
                <w:szCs w:val="20"/>
              </w:rPr>
              <w:t>Portuário</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123</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127</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123</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130</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135</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131</w:t>
            </w:r>
            <w:r w:rsidR="00C569C6" w:rsidRPr="001E687D">
              <w:rPr>
                <w:sz w:val="20"/>
                <w:szCs w:val="20"/>
              </w:rPr>
              <w:t xml:space="preserve"> º</w:t>
            </w:r>
          </w:p>
        </w:tc>
        <w:tc>
          <w:tcPr>
            <w:tcW w:w="976" w:type="dxa"/>
            <w:shd w:val="clear" w:color="auto" w:fill="auto"/>
            <w:noWrap/>
            <w:vAlign w:val="bottom"/>
            <w:hideMark/>
          </w:tcPr>
          <w:p w:rsidR="00E2791C" w:rsidRPr="001E687D" w:rsidRDefault="00E2791C" w:rsidP="00E2791C">
            <w:pPr>
              <w:jc w:val="right"/>
              <w:rPr>
                <w:sz w:val="20"/>
                <w:szCs w:val="20"/>
              </w:rPr>
            </w:pPr>
            <w:r w:rsidRPr="001E687D">
              <w:rPr>
                <w:sz w:val="20"/>
                <w:szCs w:val="20"/>
              </w:rPr>
              <w:t>122</w:t>
            </w:r>
            <w:r w:rsidR="00C569C6" w:rsidRPr="001E687D">
              <w:rPr>
                <w:sz w:val="20"/>
                <w:szCs w:val="20"/>
              </w:rPr>
              <w:t xml:space="preserve"> º</w:t>
            </w:r>
          </w:p>
        </w:tc>
      </w:tr>
    </w:tbl>
    <w:p w:rsidR="0038638A" w:rsidRPr="000476A7" w:rsidRDefault="0038638A" w:rsidP="00E2791C">
      <w:pPr>
        <w:spacing w:after="360"/>
        <w:jc w:val="both"/>
        <w:rPr>
          <w:noProof/>
          <w:sz w:val="26"/>
          <w:szCs w:val="26"/>
        </w:rPr>
      </w:pPr>
    </w:p>
    <w:p w:rsidR="001E687D" w:rsidRDefault="00274E08" w:rsidP="001E687D">
      <w:pPr>
        <w:keepNext/>
        <w:spacing w:after="360"/>
        <w:jc w:val="both"/>
      </w:pPr>
      <w:r>
        <w:rPr>
          <w:noProof/>
        </w:rPr>
        <w:drawing>
          <wp:inline distT="0" distB="0" distL="0" distR="0" wp14:anchorId="27500D4A">
            <wp:extent cx="5309870" cy="3670300"/>
            <wp:effectExtent l="0" t="0" r="508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9870" cy="3670300"/>
                    </a:xfrm>
                    <a:prstGeom prst="rect">
                      <a:avLst/>
                    </a:prstGeom>
                    <a:noFill/>
                  </pic:spPr>
                </pic:pic>
              </a:graphicData>
            </a:graphic>
          </wp:inline>
        </w:drawing>
      </w:r>
    </w:p>
    <w:p w:rsidR="005402D2" w:rsidRDefault="001E687D" w:rsidP="001E687D">
      <w:pPr>
        <w:pStyle w:val="Legenda"/>
        <w:jc w:val="both"/>
      </w:pPr>
      <w:r w:rsidRPr="001E687D">
        <w:t xml:space="preserve">Figura </w:t>
      </w:r>
      <w:fldSimple w:instr=" SEQ Figura \* ARABIC ">
        <w:r w:rsidR="00780B83">
          <w:rPr>
            <w:noProof/>
          </w:rPr>
          <w:t>10</w:t>
        </w:r>
      </w:fldSimple>
      <w:r w:rsidRPr="001E687D">
        <w:t xml:space="preserve">– Variação da posição dos subsistemas de infraestrutura de transportes do Brasil avaliados pelos relatórios de competitividade do </w:t>
      </w:r>
      <w:r w:rsidRPr="001E687D">
        <w:rPr>
          <w:i/>
        </w:rPr>
        <w:t>World Economic Forum</w:t>
      </w:r>
      <w:r w:rsidRPr="001E687D">
        <w:t xml:space="preserve"> nos últimos sete anos</w:t>
      </w:r>
    </w:p>
    <w:p w:rsidR="001D3B6D" w:rsidRDefault="001D3B6D" w:rsidP="001D3B6D">
      <w:pPr>
        <w:shd w:val="clear" w:color="auto" w:fill="FFFFFF"/>
        <w:ind w:firstLine="1418"/>
        <w:jc w:val="both"/>
        <w:rPr>
          <w:sz w:val="26"/>
          <w:szCs w:val="26"/>
        </w:rPr>
      </w:pPr>
    </w:p>
    <w:p w:rsidR="001D3B6D" w:rsidRDefault="001D3B6D" w:rsidP="001D3B6D">
      <w:pPr>
        <w:shd w:val="clear" w:color="auto" w:fill="FFFFFF"/>
        <w:ind w:firstLine="1418"/>
        <w:jc w:val="both"/>
        <w:rPr>
          <w:sz w:val="26"/>
          <w:szCs w:val="26"/>
        </w:rPr>
      </w:pPr>
      <w:r>
        <w:rPr>
          <w:sz w:val="26"/>
          <w:szCs w:val="26"/>
        </w:rPr>
        <w:t>A figura 1</w:t>
      </w:r>
      <w:r w:rsidR="00DF4EF6">
        <w:rPr>
          <w:sz w:val="26"/>
          <w:szCs w:val="26"/>
        </w:rPr>
        <w:t>0</w:t>
      </w:r>
      <w:r>
        <w:rPr>
          <w:sz w:val="26"/>
          <w:szCs w:val="26"/>
        </w:rPr>
        <w:t xml:space="preserve"> e tabela 12 são indicativos de que a participação privada na exploração das infraestruturas de transportes no Brasil tem correlação com a qualidade da infraestrutura. Como visto, o setor ferroviário, majoritariamente privado, é o de melhor posição no </w:t>
      </w:r>
      <w:r w:rsidRPr="00B65B2B">
        <w:rPr>
          <w:i/>
          <w:sz w:val="26"/>
          <w:szCs w:val="26"/>
        </w:rPr>
        <w:t>ranking</w:t>
      </w:r>
      <w:r>
        <w:rPr>
          <w:sz w:val="26"/>
          <w:szCs w:val="26"/>
        </w:rPr>
        <w:t>. O setor aeroportuário tem melhorado sua qualidade após a crise aeroportuária de 20</w:t>
      </w:r>
      <w:r w:rsidR="00B65B2B">
        <w:rPr>
          <w:sz w:val="26"/>
          <w:szCs w:val="26"/>
        </w:rPr>
        <w:t xml:space="preserve">11/12 com a privatização dos principais aeroportos do país. Assim como também se percebe no setor portuário após o último ciclo de privatizações decorrente da nova lei dos portos, Lei nº 12.815, de 5 de julho de 2013, que autorizou a instalação de terminais de uso privado, com competência para o transporte de cargas de terceiros. </w:t>
      </w:r>
    </w:p>
    <w:p w:rsidR="001D3B6D" w:rsidRDefault="00B65B2B" w:rsidP="001D3B6D">
      <w:pPr>
        <w:shd w:val="clear" w:color="auto" w:fill="FFFFFF"/>
        <w:ind w:firstLine="1418"/>
        <w:jc w:val="both"/>
        <w:rPr>
          <w:sz w:val="26"/>
          <w:szCs w:val="26"/>
        </w:rPr>
      </w:pPr>
      <w:r>
        <w:rPr>
          <w:sz w:val="26"/>
          <w:szCs w:val="26"/>
        </w:rPr>
        <w:t xml:space="preserve">O setor rodoviário é o único que não tem conseguido melhorar sua posição no </w:t>
      </w:r>
      <w:r w:rsidRPr="00B65B2B">
        <w:rPr>
          <w:i/>
          <w:sz w:val="26"/>
          <w:szCs w:val="26"/>
        </w:rPr>
        <w:t>ranking</w:t>
      </w:r>
      <w:r>
        <w:rPr>
          <w:sz w:val="26"/>
          <w:szCs w:val="26"/>
        </w:rPr>
        <w:t xml:space="preserve"> do Forum Econômico Mundial, todavia, possivelmente a queda se deva mais a diminuição dos investimentos públicos no resto da malha à falta de investimentos privados, </w:t>
      </w:r>
      <w:r w:rsidR="000B28D6">
        <w:rPr>
          <w:sz w:val="26"/>
          <w:szCs w:val="26"/>
        </w:rPr>
        <w:t xml:space="preserve">pois, </w:t>
      </w:r>
      <w:r>
        <w:rPr>
          <w:sz w:val="26"/>
          <w:szCs w:val="26"/>
        </w:rPr>
        <w:t xml:space="preserve">como visto </w:t>
      </w:r>
      <w:r w:rsidR="000B28D6">
        <w:rPr>
          <w:sz w:val="26"/>
          <w:szCs w:val="26"/>
        </w:rPr>
        <w:t>nas figuras 7 e 8, os investimentos privados em rodovias nos últimos dois anos são os maiores de todos os tempos no Brasil.</w:t>
      </w:r>
    </w:p>
    <w:p w:rsidR="000B28D6" w:rsidRPr="001D3B6D" w:rsidRDefault="000B28D6" w:rsidP="001D3B6D">
      <w:pPr>
        <w:shd w:val="clear" w:color="auto" w:fill="FFFFFF"/>
        <w:ind w:firstLine="1418"/>
        <w:jc w:val="both"/>
        <w:rPr>
          <w:sz w:val="26"/>
          <w:szCs w:val="26"/>
        </w:rPr>
      </w:pPr>
    </w:p>
    <w:p w:rsidR="001D3B6D" w:rsidRPr="001D3B6D" w:rsidRDefault="001D3B6D" w:rsidP="001D3B6D"/>
    <w:p w:rsidR="00EF191C" w:rsidRDefault="00EF5882" w:rsidP="00C72598">
      <w:pPr>
        <w:pStyle w:val="Legenda"/>
        <w:jc w:val="both"/>
        <w:rPr>
          <w:sz w:val="26"/>
          <w:szCs w:val="26"/>
        </w:rPr>
      </w:pPr>
      <w:r w:rsidRPr="000476A7">
        <w:rPr>
          <w:sz w:val="26"/>
          <w:szCs w:val="26"/>
        </w:rPr>
        <w:br w:type="page"/>
      </w:r>
    </w:p>
    <w:p w:rsidR="001B4CB0" w:rsidRPr="000476A7" w:rsidRDefault="001B4CB0" w:rsidP="00E16077">
      <w:pPr>
        <w:pStyle w:val="Ttulo0"/>
        <w:rPr>
          <w:sz w:val="26"/>
          <w:szCs w:val="26"/>
        </w:rPr>
      </w:pPr>
      <w:bookmarkStart w:id="16" w:name="_Toc442974385"/>
      <w:bookmarkEnd w:id="3"/>
      <w:r w:rsidRPr="000476A7">
        <w:rPr>
          <w:sz w:val="26"/>
          <w:szCs w:val="26"/>
        </w:rPr>
        <w:t>4</w:t>
      </w:r>
      <w:r w:rsidR="00260AE5" w:rsidRPr="000476A7">
        <w:rPr>
          <w:sz w:val="26"/>
          <w:szCs w:val="26"/>
        </w:rPr>
        <w:t xml:space="preserve">. </w:t>
      </w:r>
      <w:r w:rsidR="006618F7" w:rsidRPr="000476A7">
        <w:rPr>
          <w:sz w:val="26"/>
          <w:szCs w:val="26"/>
        </w:rPr>
        <w:t>Audiência</w:t>
      </w:r>
      <w:r w:rsidR="000476A7">
        <w:rPr>
          <w:sz w:val="26"/>
          <w:szCs w:val="26"/>
        </w:rPr>
        <w:t>s</w:t>
      </w:r>
      <w:r w:rsidR="006618F7" w:rsidRPr="000476A7">
        <w:rPr>
          <w:sz w:val="26"/>
          <w:szCs w:val="26"/>
        </w:rPr>
        <w:t xml:space="preserve"> Pública</w:t>
      </w:r>
      <w:r w:rsidR="000476A7">
        <w:rPr>
          <w:sz w:val="26"/>
          <w:szCs w:val="26"/>
        </w:rPr>
        <w:t>s</w:t>
      </w:r>
      <w:bookmarkEnd w:id="16"/>
    </w:p>
    <w:p w:rsidR="00BD2C3D" w:rsidRDefault="00BD2C3D" w:rsidP="004F16D8">
      <w:pPr>
        <w:shd w:val="clear" w:color="auto" w:fill="FFFFFF"/>
        <w:ind w:firstLine="1418"/>
        <w:jc w:val="both"/>
        <w:rPr>
          <w:sz w:val="26"/>
          <w:szCs w:val="26"/>
        </w:rPr>
      </w:pPr>
      <w:r>
        <w:rPr>
          <w:sz w:val="26"/>
          <w:szCs w:val="26"/>
        </w:rPr>
        <w:t xml:space="preserve">Foram realizadas duas audiências públicas. Os resumos das transcrições estão nos anexos I e II deste relatório. </w:t>
      </w:r>
    </w:p>
    <w:p w:rsidR="007F6733" w:rsidRPr="000476A7" w:rsidRDefault="00DB6752" w:rsidP="004F16D8">
      <w:pPr>
        <w:shd w:val="clear" w:color="auto" w:fill="FFFFFF"/>
        <w:ind w:firstLine="1418"/>
        <w:jc w:val="both"/>
        <w:rPr>
          <w:sz w:val="26"/>
          <w:szCs w:val="26"/>
        </w:rPr>
      </w:pPr>
      <w:r w:rsidRPr="000476A7">
        <w:rPr>
          <w:sz w:val="26"/>
          <w:szCs w:val="26"/>
        </w:rPr>
        <w:t>A</w:t>
      </w:r>
      <w:r w:rsidR="00381347" w:rsidRPr="000476A7">
        <w:rPr>
          <w:sz w:val="26"/>
          <w:szCs w:val="26"/>
        </w:rPr>
        <w:t xml:space="preserve"> </w:t>
      </w:r>
      <w:r w:rsidRPr="000476A7">
        <w:rPr>
          <w:sz w:val="26"/>
          <w:szCs w:val="26"/>
        </w:rPr>
        <w:t xml:space="preserve">audiência pública </w:t>
      </w:r>
      <w:r w:rsidR="00381347" w:rsidRPr="000476A7">
        <w:rPr>
          <w:sz w:val="26"/>
          <w:szCs w:val="26"/>
        </w:rPr>
        <w:t xml:space="preserve">de </w:t>
      </w:r>
      <w:r w:rsidR="0020787C" w:rsidRPr="000476A7">
        <w:rPr>
          <w:b/>
          <w:sz w:val="26"/>
          <w:szCs w:val="26"/>
        </w:rPr>
        <w:t>1</w:t>
      </w:r>
      <w:r w:rsidR="00381347" w:rsidRPr="000476A7">
        <w:rPr>
          <w:b/>
          <w:sz w:val="26"/>
          <w:szCs w:val="26"/>
        </w:rPr>
        <w:t xml:space="preserve">6 de </w:t>
      </w:r>
      <w:r w:rsidR="0020787C" w:rsidRPr="000476A7">
        <w:rPr>
          <w:b/>
          <w:sz w:val="26"/>
          <w:szCs w:val="26"/>
        </w:rPr>
        <w:t>novembro</w:t>
      </w:r>
      <w:r w:rsidR="00381347" w:rsidRPr="000476A7">
        <w:rPr>
          <w:b/>
          <w:sz w:val="26"/>
          <w:szCs w:val="26"/>
        </w:rPr>
        <w:t xml:space="preserve"> de 201</w:t>
      </w:r>
      <w:r w:rsidR="0020787C" w:rsidRPr="000476A7">
        <w:rPr>
          <w:b/>
          <w:sz w:val="26"/>
          <w:szCs w:val="26"/>
        </w:rPr>
        <w:t>5</w:t>
      </w:r>
      <w:r w:rsidR="00381347" w:rsidRPr="000476A7">
        <w:rPr>
          <w:sz w:val="26"/>
          <w:szCs w:val="26"/>
        </w:rPr>
        <w:t xml:space="preserve"> destin</w:t>
      </w:r>
      <w:r w:rsidRPr="000476A7">
        <w:rPr>
          <w:sz w:val="26"/>
          <w:szCs w:val="26"/>
        </w:rPr>
        <w:t>ou-se</w:t>
      </w:r>
      <w:r w:rsidR="00381347" w:rsidRPr="000476A7">
        <w:rPr>
          <w:sz w:val="26"/>
          <w:szCs w:val="26"/>
        </w:rPr>
        <w:t xml:space="preserve"> </w:t>
      </w:r>
      <w:r w:rsidR="007F6733" w:rsidRPr="000476A7">
        <w:rPr>
          <w:sz w:val="26"/>
          <w:szCs w:val="26"/>
        </w:rPr>
        <w:t>a discutir a interface dos órgãos do setor de transportes com outros cujas compet</w:t>
      </w:r>
      <w:r w:rsidR="00D96A9F" w:rsidRPr="000476A7">
        <w:rPr>
          <w:sz w:val="26"/>
          <w:szCs w:val="26"/>
        </w:rPr>
        <w:t>ências impactam</w:t>
      </w:r>
      <w:r w:rsidR="007F6733" w:rsidRPr="000476A7">
        <w:rPr>
          <w:sz w:val="26"/>
          <w:szCs w:val="26"/>
        </w:rPr>
        <w:t xml:space="preserve"> a realização de obras de infraestrutura. Estiveram presentes como convidados:</w:t>
      </w:r>
      <w:r w:rsidR="007F6733" w:rsidRPr="000476A7">
        <w:rPr>
          <w:sz w:val="26"/>
          <w:szCs w:val="26"/>
        </w:rPr>
        <w:tab/>
      </w:r>
    </w:p>
    <w:p w:rsidR="007F6733" w:rsidRPr="000476A7" w:rsidRDefault="007F6733" w:rsidP="00D67704">
      <w:pPr>
        <w:numPr>
          <w:ilvl w:val="0"/>
          <w:numId w:val="5"/>
        </w:numPr>
        <w:shd w:val="clear" w:color="auto" w:fill="FFFFFF"/>
        <w:spacing w:line="357" w:lineRule="atLeast"/>
        <w:jc w:val="both"/>
        <w:rPr>
          <w:sz w:val="26"/>
          <w:szCs w:val="26"/>
        </w:rPr>
      </w:pPr>
      <w:r w:rsidRPr="000476A7">
        <w:rPr>
          <w:sz w:val="26"/>
          <w:szCs w:val="26"/>
        </w:rPr>
        <w:t>Helder Barbalho,</w:t>
      </w:r>
      <w:r w:rsidRPr="000476A7">
        <w:rPr>
          <w:rStyle w:val="apple-converted-space"/>
          <w:sz w:val="26"/>
          <w:szCs w:val="26"/>
        </w:rPr>
        <w:t> </w:t>
      </w:r>
      <w:r w:rsidRPr="000476A7">
        <w:rPr>
          <w:sz w:val="26"/>
          <w:szCs w:val="26"/>
        </w:rPr>
        <w:t>Ministro de Estado Chefe da Secretaria de Portos da Presidência da</w:t>
      </w:r>
      <w:r w:rsidRPr="000476A7">
        <w:rPr>
          <w:rStyle w:val="apple-converted-space"/>
          <w:sz w:val="26"/>
          <w:szCs w:val="26"/>
        </w:rPr>
        <w:t> </w:t>
      </w:r>
      <w:r w:rsidRPr="000476A7">
        <w:rPr>
          <w:sz w:val="26"/>
          <w:szCs w:val="26"/>
        </w:rPr>
        <w:t>República;</w:t>
      </w:r>
    </w:p>
    <w:p w:rsidR="007F6733" w:rsidRPr="000476A7" w:rsidRDefault="007F6733" w:rsidP="00D67704">
      <w:pPr>
        <w:numPr>
          <w:ilvl w:val="0"/>
          <w:numId w:val="5"/>
        </w:numPr>
        <w:shd w:val="clear" w:color="auto" w:fill="FFFFFF"/>
        <w:spacing w:line="357" w:lineRule="atLeast"/>
        <w:jc w:val="both"/>
        <w:rPr>
          <w:sz w:val="26"/>
          <w:szCs w:val="26"/>
        </w:rPr>
      </w:pPr>
      <w:r w:rsidRPr="000476A7">
        <w:rPr>
          <w:sz w:val="26"/>
          <w:szCs w:val="26"/>
        </w:rPr>
        <w:t>Eliseu Padilha,</w:t>
      </w:r>
      <w:r w:rsidRPr="000476A7">
        <w:rPr>
          <w:rStyle w:val="apple-converted-space"/>
          <w:sz w:val="26"/>
          <w:szCs w:val="26"/>
        </w:rPr>
        <w:t> </w:t>
      </w:r>
      <w:r w:rsidRPr="000476A7">
        <w:rPr>
          <w:sz w:val="26"/>
          <w:szCs w:val="26"/>
        </w:rPr>
        <w:t>Ministro de Estado Chefe da Secretaria de Aviação Civil da Presidência da</w:t>
      </w:r>
      <w:r w:rsidRPr="000476A7">
        <w:rPr>
          <w:rStyle w:val="apple-converted-space"/>
          <w:sz w:val="26"/>
          <w:szCs w:val="26"/>
        </w:rPr>
        <w:t> </w:t>
      </w:r>
      <w:r w:rsidRPr="000476A7">
        <w:rPr>
          <w:sz w:val="26"/>
          <w:szCs w:val="26"/>
        </w:rPr>
        <w:t>República;</w:t>
      </w:r>
    </w:p>
    <w:p w:rsidR="007F6733" w:rsidRPr="000476A7" w:rsidRDefault="007F6733" w:rsidP="00D67704">
      <w:pPr>
        <w:numPr>
          <w:ilvl w:val="0"/>
          <w:numId w:val="5"/>
        </w:numPr>
        <w:shd w:val="clear" w:color="auto" w:fill="FFFFFF"/>
        <w:spacing w:line="357" w:lineRule="atLeast"/>
        <w:jc w:val="both"/>
        <w:rPr>
          <w:sz w:val="26"/>
          <w:szCs w:val="26"/>
        </w:rPr>
      </w:pPr>
      <w:r w:rsidRPr="000476A7">
        <w:rPr>
          <w:sz w:val="26"/>
          <w:szCs w:val="26"/>
        </w:rPr>
        <w:t>Natalia Marcassa de Souza,</w:t>
      </w:r>
      <w:r w:rsidRPr="000476A7">
        <w:rPr>
          <w:rStyle w:val="apple-converted-space"/>
          <w:sz w:val="26"/>
          <w:szCs w:val="26"/>
        </w:rPr>
        <w:t> </w:t>
      </w:r>
      <w:r w:rsidRPr="000476A7">
        <w:rPr>
          <w:sz w:val="26"/>
          <w:szCs w:val="26"/>
        </w:rPr>
        <w:t>Secretária Executiva do Ministério dos Transportes, que representa o Sr. Ministro dos Transportes neste evento;</w:t>
      </w:r>
    </w:p>
    <w:p w:rsidR="007F6733" w:rsidRPr="000476A7" w:rsidRDefault="007F6733" w:rsidP="00D67704">
      <w:pPr>
        <w:numPr>
          <w:ilvl w:val="0"/>
          <w:numId w:val="5"/>
        </w:numPr>
        <w:shd w:val="clear" w:color="auto" w:fill="FFFFFF"/>
        <w:spacing w:line="357" w:lineRule="atLeast"/>
        <w:jc w:val="both"/>
        <w:rPr>
          <w:sz w:val="26"/>
          <w:szCs w:val="26"/>
        </w:rPr>
      </w:pPr>
      <w:r w:rsidRPr="000476A7">
        <w:rPr>
          <w:sz w:val="26"/>
          <w:szCs w:val="26"/>
        </w:rPr>
        <w:t>Franklin Rodrigues da Costa,</w:t>
      </w:r>
      <w:r w:rsidRPr="000476A7">
        <w:rPr>
          <w:rStyle w:val="apple-converted-space"/>
          <w:sz w:val="26"/>
          <w:szCs w:val="26"/>
        </w:rPr>
        <w:t> </w:t>
      </w:r>
      <w:r w:rsidRPr="000476A7">
        <w:rPr>
          <w:sz w:val="26"/>
          <w:szCs w:val="26"/>
        </w:rPr>
        <w:t>Subprocurador-Geral da República;</w:t>
      </w:r>
      <w:r w:rsidR="00D96A9F" w:rsidRPr="000476A7">
        <w:rPr>
          <w:sz w:val="26"/>
          <w:szCs w:val="26"/>
        </w:rPr>
        <w:t xml:space="preserve"> e</w:t>
      </w:r>
    </w:p>
    <w:p w:rsidR="00305715" w:rsidRPr="000476A7" w:rsidRDefault="007F6733" w:rsidP="001B4CB0">
      <w:pPr>
        <w:numPr>
          <w:ilvl w:val="0"/>
          <w:numId w:val="5"/>
        </w:numPr>
        <w:shd w:val="clear" w:color="auto" w:fill="FFFFFF"/>
        <w:spacing w:line="357" w:lineRule="atLeast"/>
        <w:jc w:val="both"/>
        <w:rPr>
          <w:sz w:val="26"/>
          <w:szCs w:val="26"/>
        </w:rPr>
      </w:pPr>
      <w:r w:rsidRPr="000476A7">
        <w:rPr>
          <w:sz w:val="26"/>
          <w:szCs w:val="26"/>
        </w:rPr>
        <w:t>Thomaz Toledo,</w:t>
      </w:r>
      <w:r w:rsidRPr="000476A7">
        <w:rPr>
          <w:rStyle w:val="apple-converted-space"/>
          <w:sz w:val="26"/>
          <w:szCs w:val="26"/>
        </w:rPr>
        <w:t> </w:t>
      </w:r>
      <w:r w:rsidRPr="000476A7">
        <w:rPr>
          <w:sz w:val="26"/>
          <w:szCs w:val="26"/>
        </w:rPr>
        <w:t>Diretor de Licenciamento Ambiental do Instituto Brasileiro do Meio Ambiente</w:t>
      </w:r>
      <w:r w:rsidRPr="000476A7">
        <w:rPr>
          <w:rStyle w:val="apple-converted-space"/>
          <w:sz w:val="26"/>
          <w:szCs w:val="26"/>
        </w:rPr>
        <w:t> </w:t>
      </w:r>
      <w:r w:rsidRPr="000476A7">
        <w:rPr>
          <w:sz w:val="26"/>
          <w:szCs w:val="26"/>
        </w:rPr>
        <w:t>e dos Recursos Naturais Renováveis (Ibama).</w:t>
      </w:r>
    </w:p>
    <w:p w:rsidR="00C91C6B" w:rsidRPr="000476A7" w:rsidRDefault="00C91C6B" w:rsidP="00BD2C3D">
      <w:pPr>
        <w:pStyle w:val="Estilo1"/>
        <w:rPr>
          <w:sz w:val="26"/>
          <w:szCs w:val="26"/>
        </w:rPr>
      </w:pPr>
    </w:p>
    <w:p w:rsidR="0020787C" w:rsidRPr="000476A7" w:rsidRDefault="00340905" w:rsidP="00C91C6B">
      <w:pPr>
        <w:pStyle w:val="Estilo1"/>
        <w:rPr>
          <w:color w:val="auto"/>
          <w:sz w:val="26"/>
          <w:szCs w:val="26"/>
        </w:rPr>
      </w:pPr>
      <w:r w:rsidRPr="000476A7">
        <w:rPr>
          <w:rStyle w:val="nfase"/>
          <w:i w:val="0"/>
          <w:color w:val="auto"/>
          <w:sz w:val="26"/>
          <w:szCs w:val="26"/>
        </w:rPr>
        <w:t xml:space="preserve">A audiência pública de </w:t>
      </w:r>
      <w:r w:rsidRPr="000476A7">
        <w:rPr>
          <w:rStyle w:val="nfase"/>
          <w:b/>
          <w:i w:val="0"/>
          <w:color w:val="auto"/>
          <w:sz w:val="26"/>
          <w:szCs w:val="26"/>
        </w:rPr>
        <w:t>3 de dez</w:t>
      </w:r>
      <w:r w:rsidR="0020787C" w:rsidRPr="000476A7">
        <w:rPr>
          <w:rStyle w:val="nfase"/>
          <w:b/>
          <w:i w:val="0"/>
          <w:color w:val="auto"/>
          <w:sz w:val="26"/>
          <w:szCs w:val="26"/>
        </w:rPr>
        <w:t>embro de 2015</w:t>
      </w:r>
      <w:r w:rsidR="0020787C" w:rsidRPr="000476A7">
        <w:rPr>
          <w:rStyle w:val="nfase"/>
          <w:i w:val="0"/>
          <w:color w:val="auto"/>
          <w:sz w:val="26"/>
          <w:szCs w:val="26"/>
        </w:rPr>
        <w:t xml:space="preserve"> destinou-se </w:t>
      </w:r>
      <w:r w:rsidRPr="000476A7">
        <w:rPr>
          <w:rStyle w:val="nfase"/>
          <w:i w:val="0"/>
          <w:color w:val="auto"/>
          <w:sz w:val="26"/>
          <w:szCs w:val="26"/>
        </w:rPr>
        <w:t>a continuar a discutir, no âmbito da avaliação do Plano Nacional de Logística de Transportes, as razões dos atrasos e abandonos de obras públicas no Brasil e tratar do cronograma das obras atuais sob responsabilidade do Governo Federal</w:t>
      </w:r>
      <w:r w:rsidRPr="000476A7">
        <w:rPr>
          <w:color w:val="auto"/>
          <w:sz w:val="26"/>
          <w:szCs w:val="26"/>
        </w:rPr>
        <w:t>.</w:t>
      </w:r>
      <w:r w:rsidR="00BB33BE" w:rsidRPr="000476A7">
        <w:rPr>
          <w:color w:val="auto"/>
          <w:sz w:val="26"/>
          <w:szCs w:val="26"/>
        </w:rPr>
        <w:t xml:space="preserve"> Estiveram presentes como convidados:</w:t>
      </w:r>
    </w:p>
    <w:p w:rsidR="00BB33BE" w:rsidRPr="000476A7" w:rsidRDefault="00BB33BE" w:rsidP="00D67704">
      <w:pPr>
        <w:numPr>
          <w:ilvl w:val="0"/>
          <w:numId w:val="5"/>
        </w:numPr>
        <w:shd w:val="clear" w:color="auto" w:fill="FFFFFF"/>
        <w:spacing w:line="357" w:lineRule="atLeast"/>
        <w:jc w:val="both"/>
        <w:rPr>
          <w:sz w:val="26"/>
          <w:szCs w:val="26"/>
        </w:rPr>
      </w:pPr>
      <w:r w:rsidRPr="000476A7">
        <w:rPr>
          <w:sz w:val="26"/>
          <w:szCs w:val="26"/>
        </w:rPr>
        <w:t>Valter Casimiro Silveira,</w:t>
      </w:r>
      <w:r w:rsidRPr="000476A7">
        <w:rPr>
          <w:rStyle w:val="apple-converted-space"/>
          <w:sz w:val="26"/>
          <w:szCs w:val="26"/>
        </w:rPr>
        <w:t> Diretor-Geral do Departamento Nacional de Infraestrutura de Transportes – DNIT</w:t>
      </w:r>
      <w:r w:rsidRPr="000476A7">
        <w:rPr>
          <w:sz w:val="26"/>
          <w:szCs w:val="26"/>
        </w:rPr>
        <w:t>;</w:t>
      </w:r>
    </w:p>
    <w:p w:rsidR="00BB33BE" w:rsidRPr="000476A7" w:rsidRDefault="00BB33BE" w:rsidP="00D67704">
      <w:pPr>
        <w:numPr>
          <w:ilvl w:val="0"/>
          <w:numId w:val="5"/>
        </w:numPr>
        <w:shd w:val="clear" w:color="auto" w:fill="FFFFFF"/>
        <w:spacing w:line="357" w:lineRule="atLeast"/>
        <w:jc w:val="both"/>
        <w:rPr>
          <w:sz w:val="26"/>
          <w:szCs w:val="26"/>
        </w:rPr>
      </w:pPr>
      <w:r w:rsidRPr="000476A7">
        <w:rPr>
          <w:sz w:val="26"/>
          <w:szCs w:val="26"/>
        </w:rPr>
        <w:t>Mário Mondolfo, Diretor de Engenharia da Valec Engenharia Construções e Ferrovias S.A.;</w:t>
      </w:r>
    </w:p>
    <w:p w:rsidR="00BB33BE" w:rsidRPr="000476A7" w:rsidRDefault="00BB33BE" w:rsidP="00D67704">
      <w:pPr>
        <w:numPr>
          <w:ilvl w:val="0"/>
          <w:numId w:val="5"/>
        </w:numPr>
        <w:shd w:val="clear" w:color="auto" w:fill="FFFFFF"/>
        <w:spacing w:line="357" w:lineRule="atLeast"/>
        <w:jc w:val="both"/>
        <w:rPr>
          <w:sz w:val="26"/>
          <w:szCs w:val="26"/>
        </w:rPr>
      </w:pPr>
      <w:r w:rsidRPr="000476A7">
        <w:rPr>
          <w:sz w:val="26"/>
          <w:szCs w:val="26"/>
        </w:rPr>
        <w:t>Natalia Marcassa de Souza,</w:t>
      </w:r>
      <w:r w:rsidRPr="000476A7">
        <w:rPr>
          <w:rStyle w:val="apple-converted-space"/>
          <w:sz w:val="26"/>
          <w:szCs w:val="26"/>
        </w:rPr>
        <w:t> </w:t>
      </w:r>
      <w:r w:rsidRPr="000476A7">
        <w:rPr>
          <w:sz w:val="26"/>
          <w:szCs w:val="26"/>
        </w:rPr>
        <w:t>Secretária Executiva do Ministério dos Transportes, que representa o Sr. Ministro dos Transportes neste evento; e</w:t>
      </w:r>
    </w:p>
    <w:p w:rsidR="00BB33BE" w:rsidRPr="000476A7" w:rsidRDefault="00BB33BE" w:rsidP="00D67704">
      <w:pPr>
        <w:numPr>
          <w:ilvl w:val="0"/>
          <w:numId w:val="5"/>
        </w:numPr>
        <w:shd w:val="clear" w:color="auto" w:fill="FFFFFF"/>
        <w:spacing w:line="357" w:lineRule="atLeast"/>
        <w:jc w:val="both"/>
        <w:rPr>
          <w:sz w:val="26"/>
          <w:szCs w:val="26"/>
        </w:rPr>
      </w:pPr>
      <w:r w:rsidRPr="000476A7">
        <w:rPr>
          <w:sz w:val="26"/>
          <w:szCs w:val="26"/>
        </w:rPr>
        <w:t>Arsênio José da Costa Dantas, Coordenador-Geral de Infraestrutura do Tribunal de Contas da União.</w:t>
      </w:r>
    </w:p>
    <w:p w:rsidR="00E76355" w:rsidRPr="000476A7" w:rsidRDefault="004175AF" w:rsidP="00E16077">
      <w:pPr>
        <w:pStyle w:val="Ttulo0"/>
        <w:rPr>
          <w:sz w:val="26"/>
          <w:szCs w:val="26"/>
        </w:rPr>
      </w:pPr>
      <w:bookmarkStart w:id="17" w:name="_Toc442974386"/>
      <w:r w:rsidRPr="000476A7">
        <w:rPr>
          <w:sz w:val="26"/>
          <w:szCs w:val="26"/>
        </w:rPr>
        <w:t>5</w:t>
      </w:r>
      <w:r w:rsidR="005030B1" w:rsidRPr="000476A7">
        <w:rPr>
          <w:sz w:val="26"/>
          <w:szCs w:val="26"/>
        </w:rPr>
        <w:t xml:space="preserve">. </w:t>
      </w:r>
      <w:r w:rsidR="00344599" w:rsidRPr="000476A7">
        <w:rPr>
          <w:sz w:val="26"/>
          <w:szCs w:val="26"/>
        </w:rPr>
        <w:t>Síntese</w:t>
      </w:r>
      <w:r w:rsidR="006E0EA3" w:rsidRPr="000476A7">
        <w:rPr>
          <w:sz w:val="26"/>
          <w:szCs w:val="26"/>
        </w:rPr>
        <w:t xml:space="preserve"> dos Principais Problemas</w:t>
      </w:r>
      <w:bookmarkEnd w:id="17"/>
      <w:r w:rsidR="006E0EA3" w:rsidRPr="000476A7">
        <w:rPr>
          <w:sz w:val="26"/>
          <w:szCs w:val="26"/>
        </w:rPr>
        <w:t xml:space="preserve"> </w:t>
      </w:r>
    </w:p>
    <w:p w:rsidR="001970FE" w:rsidRDefault="006D2989"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O PNLT pretendia ser um plano de Estado, não apenas de Governo, que elencaria um portfólio de investimentos prioritários fundamentado em metodologia técnico-científica transparente</w:t>
      </w:r>
      <w:r w:rsidR="000B28D6">
        <w:rPr>
          <w:rFonts w:ascii="Times New Roman" w:hAnsi="Times New Roman"/>
          <w:sz w:val="26"/>
          <w:szCs w:val="26"/>
          <w:lang w:val="pt-BR"/>
        </w:rPr>
        <w:t>,</w:t>
      </w:r>
      <w:r>
        <w:rPr>
          <w:rFonts w:ascii="Times New Roman" w:hAnsi="Times New Roman"/>
          <w:sz w:val="26"/>
          <w:szCs w:val="26"/>
          <w:lang w:val="pt-BR"/>
        </w:rPr>
        <w:t xml:space="preserve"> tanto para os interesses do Mercado quanto para os estudos da Academia. Entretanto, a fragmentação do setor de transporte para dar espaço à lógica do Presidencialismo de Coalizão causou, como efeito colateral, a desintegração da política de planejamento em transportes. </w:t>
      </w:r>
    </w:p>
    <w:p w:rsidR="000B28D6" w:rsidRDefault="006D2989"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O PNLT foi descontinuado</w:t>
      </w:r>
      <w:r w:rsidR="001970FE">
        <w:rPr>
          <w:rFonts w:ascii="Times New Roman" w:hAnsi="Times New Roman"/>
          <w:sz w:val="26"/>
          <w:szCs w:val="26"/>
          <w:lang w:val="pt-BR"/>
        </w:rPr>
        <w:t>, sem que, no entanto, tenha conseguido reequilibrar a matriz de transportes,</w:t>
      </w:r>
      <w:r>
        <w:rPr>
          <w:rFonts w:ascii="Times New Roman" w:hAnsi="Times New Roman"/>
          <w:sz w:val="26"/>
          <w:szCs w:val="26"/>
          <w:lang w:val="pt-BR"/>
        </w:rPr>
        <w:t xml:space="preserve"> após sua terceira edição em 2011</w:t>
      </w:r>
      <w:r w:rsidR="001970FE">
        <w:rPr>
          <w:rFonts w:ascii="Times New Roman" w:hAnsi="Times New Roman"/>
          <w:sz w:val="26"/>
          <w:szCs w:val="26"/>
          <w:lang w:val="pt-BR"/>
        </w:rPr>
        <w:t xml:space="preserve">. </w:t>
      </w:r>
      <w:r w:rsidR="007F21B6">
        <w:rPr>
          <w:rFonts w:ascii="Times New Roman" w:hAnsi="Times New Roman"/>
          <w:sz w:val="26"/>
          <w:szCs w:val="26"/>
          <w:lang w:val="pt-BR"/>
        </w:rPr>
        <w:t>O PNLT foi substituído por</w:t>
      </w:r>
      <w:r w:rsidR="001970FE">
        <w:rPr>
          <w:rFonts w:ascii="Times New Roman" w:hAnsi="Times New Roman"/>
          <w:sz w:val="26"/>
          <w:szCs w:val="26"/>
          <w:lang w:val="pt-BR"/>
        </w:rPr>
        <w:t xml:space="preserve"> </w:t>
      </w:r>
      <w:r>
        <w:rPr>
          <w:rFonts w:ascii="Times New Roman" w:hAnsi="Times New Roman"/>
          <w:sz w:val="26"/>
          <w:szCs w:val="26"/>
          <w:lang w:val="pt-BR"/>
        </w:rPr>
        <w:t>planos setoriais isolados</w:t>
      </w:r>
      <w:r w:rsidR="00302002">
        <w:rPr>
          <w:rFonts w:ascii="Times New Roman" w:hAnsi="Times New Roman"/>
          <w:sz w:val="26"/>
          <w:szCs w:val="26"/>
          <w:lang w:val="pt-BR"/>
        </w:rPr>
        <w:t>,</w:t>
      </w:r>
      <w:r>
        <w:rPr>
          <w:rFonts w:ascii="Times New Roman" w:hAnsi="Times New Roman"/>
          <w:sz w:val="26"/>
          <w:szCs w:val="26"/>
          <w:lang w:val="pt-BR"/>
        </w:rPr>
        <w:t xml:space="preserve"> </w:t>
      </w:r>
      <w:r w:rsidR="007F21B6">
        <w:rPr>
          <w:rFonts w:ascii="Times New Roman" w:hAnsi="Times New Roman"/>
          <w:sz w:val="26"/>
          <w:szCs w:val="26"/>
          <w:lang w:val="pt-BR"/>
        </w:rPr>
        <w:t>pel</w:t>
      </w:r>
      <w:r w:rsidR="001970FE">
        <w:rPr>
          <w:rFonts w:ascii="Times New Roman" w:hAnsi="Times New Roman"/>
          <w:sz w:val="26"/>
          <w:szCs w:val="26"/>
          <w:lang w:val="pt-BR"/>
        </w:rPr>
        <w:t>os Planos de Investimento em Logística</w:t>
      </w:r>
      <w:r>
        <w:rPr>
          <w:rFonts w:ascii="Times New Roman" w:hAnsi="Times New Roman"/>
          <w:sz w:val="26"/>
          <w:szCs w:val="26"/>
          <w:lang w:val="pt-BR"/>
        </w:rPr>
        <w:t>,</w:t>
      </w:r>
      <w:r w:rsidR="00302002">
        <w:rPr>
          <w:rFonts w:ascii="Times New Roman" w:hAnsi="Times New Roman"/>
          <w:sz w:val="26"/>
          <w:szCs w:val="26"/>
          <w:lang w:val="pt-BR"/>
        </w:rPr>
        <w:t xml:space="preserve"> e, em tese, </w:t>
      </w:r>
      <w:r w:rsidR="007F21B6">
        <w:rPr>
          <w:rFonts w:ascii="Times New Roman" w:hAnsi="Times New Roman"/>
          <w:sz w:val="26"/>
          <w:szCs w:val="26"/>
          <w:lang w:val="pt-BR"/>
        </w:rPr>
        <w:t>pelo</w:t>
      </w:r>
      <w:r w:rsidR="00302002">
        <w:rPr>
          <w:rFonts w:ascii="Times New Roman" w:hAnsi="Times New Roman"/>
          <w:sz w:val="26"/>
          <w:szCs w:val="26"/>
          <w:lang w:val="pt-BR"/>
        </w:rPr>
        <w:t xml:space="preserve"> anunciado (PNLI) Plano Nacional de Logística Integrada,</w:t>
      </w:r>
      <w:r w:rsidR="000B28D6">
        <w:rPr>
          <w:rFonts w:ascii="Times New Roman" w:hAnsi="Times New Roman"/>
          <w:sz w:val="26"/>
          <w:szCs w:val="26"/>
          <w:lang w:val="pt-BR"/>
        </w:rPr>
        <w:t xml:space="preserve"> ainda</w:t>
      </w:r>
      <w:r w:rsidR="00302002">
        <w:rPr>
          <w:rFonts w:ascii="Times New Roman" w:hAnsi="Times New Roman"/>
          <w:sz w:val="26"/>
          <w:szCs w:val="26"/>
          <w:lang w:val="pt-BR"/>
        </w:rPr>
        <w:t xml:space="preserve"> em elaboração pela EPL</w:t>
      </w:r>
      <w:r w:rsidR="000B28D6">
        <w:rPr>
          <w:rFonts w:ascii="Times New Roman" w:hAnsi="Times New Roman"/>
          <w:sz w:val="26"/>
          <w:szCs w:val="26"/>
          <w:lang w:val="pt-BR"/>
        </w:rPr>
        <w:t>.</w:t>
      </w:r>
      <w:r w:rsidR="001970FE">
        <w:rPr>
          <w:rFonts w:ascii="Times New Roman" w:hAnsi="Times New Roman"/>
          <w:sz w:val="26"/>
          <w:szCs w:val="26"/>
          <w:lang w:val="pt-BR"/>
        </w:rPr>
        <w:t xml:space="preserve"> </w:t>
      </w:r>
      <w:r w:rsidR="000B28D6">
        <w:rPr>
          <w:rFonts w:ascii="Times New Roman" w:hAnsi="Times New Roman"/>
          <w:sz w:val="26"/>
          <w:szCs w:val="26"/>
          <w:lang w:val="pt-BR"/>
        </w:rPr>
        <w:t>A</w:t>
      </w:r>
      <w:r w:rsidR="00302002">
        <w:rPr>
          <w:rFonts w:ascii="Times New Roman" w:hAnsi="Times New Roman"/>
          <w:sz w:val="26"/>
          <w:szCs w:val="26"/>
          <w:lang w:val="pt-BR"/>
        </w:rPr>
        <w:t xml:space="preserve">té o momento </w:t>
      </w:r>
      <w:r>
        <w:rPr>
          <w:rFonts w:ascii="Times New Roman" w:hAnsi="Times New Roman"/>
          <w:sz w:val="26"/>
          <w:szCs w:val="26"/>
          <w:lang w:val="pt-BR"/>
        </w:rPr>
        <w:t xml:space="preserve">não </w:t>
      </w:r>
      <w:r w:rsidR="000B28D6">
        <w:rPr>
          <w:rFonts w:ascii="Times New Roman" w:hAnsi="Times New Roman"/>
          <w:sz w:val="26"/>
          <w:szCs w:val="26"/>
          <w:lang w:val="pt-BR"/>
        </w:rPr>
        <w:t xml:space="preserve">é sabido se o futuro PNLI terá </w:t>
      </w:r>
      <w:r w:rsidR="00556A37">
        <w:rPr>
          <w:rFonts w:ascii="Times New Roman" w:hAnsi="Times New Roman"/>
          <w:sz w:val="26"/>
          <w:szCs w:val="26"/>
          <w:lang w:val="pt-BR"/>
        </w:rPr>
        <w:t xml:space="preserve">a mesma tecnicidade ou transparência do PNLT. </w:t>
      </w:r>
    </w:p>
    <w:p w:rsidR="006D2989" w:rsidRDefault="00556A37"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Assim, percebe-se que a partir da não continuidade do PNLT e da não implantação prática do CONIT o planejamento em transportes perdeu o atributo da previsibilidade</w:t>
      </w:r>
      <w:r w:rsidR="000B28D6">
        <w:rPr>
          <w:rFonts w:ascii="Times New Roman" w:hAnsi="Times New Roman"/>
          <w:sz w:val="26"/>
          <w:szCs w:val="26"/>
          <w:lang w:val="pt-BR"/>
        </w:rPr>
        <w:t>, pois</w:t>
      </w:r>
      <w:r>
        <w:rPr>
          <w:rFonts w:ascii="Times New Roman" w:hAnsi="Times New Roman"/>
          <w:sz w:val="26"/>
          <w:szCs w:val="26"/>
          <w:lang w:val="pt-BR"/>
        </w:rPr>
        <w:t xml:space="preserve"> a Sociedade e o Mercado são surpreendidos por ações de propaganda sobre investimentos que não são concretizados, de tal maneira que os investidores são desestimulados a investir no setor de transportes, </w:t>
      </w:r>
      <w:r w:rsidR="000B28D6">
        <w:rPr>
          <w:rFonts w:ascii="Times New Roman" w:hAnsi="Times New Roman"/>
          <w:sz w:val="26"/>
          <w:szCs w:val="26"/>
          <w:lang w:val="pt-BR"/>
        </w:rPr>
        <w:t xml:space="preserve">uma vez que </w:t>
      </w:r>
      <w:r>
        <w:rPr>
          <w:rFonts w:ascii="Times New Roman" w:hAnsi="Times New Roman"/>
          <w:sz w:val="26"/>
          <w:szCs w:val="26"/>
          <w:lang w:val="pt-BR"/>
        </w:rPr>
        <w:t xml:space="preserve">as prioridades e as regras de negócio são </w:t>
      </w:r>
      <w:r w:rsidR="00832EFE">
        <w:rPr>
          <w:rFonts w:ascii="Times New Roman" w:hAnsi="Times New Roman"/>
          <w:sz w:val="26"/>
          <w:szCs w:val="26"/>
          <w:lang w:val="pt-BR"/>
        </w:rPr>
        <w:t>in</w:t>
      </w:r>
      <w:r>
        <w:rPr>
          <w:rFonts w:ascii="Times New Roman" w:hAnsi="Times New Roman"/>
          <w:sz w:val="26"/>
          <w:szCs w:val="26"/>
          <w:lang w:val="pt-BR"/>
        </w:rPr>
        <w:t>constante</w:t>
      </w:r>
      <w:r w:rsidR="00832EFE">
        <w:rPr>
          <w:rFonts w:ascii="Times New Roman" w:hAnsi="Times New Roman"/>
          <w:sz w:val="26"/>
          <w:szCs w:val="26"/>
          <w:lang w:val="pt-BR"/>
        </w:rPr>
        <w:t>s</w:t>
      </w:r>
      <w:r>
        <w:rPr>
          <w:rFonts w:ascii="Times New Roman" w:hAnsi="Times New Roman"/>
          <w:sz w:val="26"/>
          <w:szCs w:val="26"/>
          <w:lang w:val="pt-BR"/>
        </w:rPr>
        <w:t xml:space="preserve">, como tem sido o caso do setor ferroviário, exemplo claro da falta de transparência e previsibilidade. </w:t>
      </w:r>
    </w:p>
    <w:p w:rsidR="00616348" w:rsidRPr="000476A7" w:rsidRDefault="00556A37"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Os investimentos que se concretizam são em maioria desenvolvidos no setor rodoviário, em contra</w:t>
      </w:r>
      <w:r w:rsidR="007B3DFC">
        <w:rPr>
          <w:rFonts w:ascii="Times New Roman" w:hAnsi="Times New Roman"/>
          <w:sz w:val="26"/>
          <w:szCs w:val="26"/>
          <w:lang w:val="pt-BR"/>
        </w:rPr>
        <w:t>s</w:t>
      </w:r>
      <w:r>
        <w:rPr>
          <w:rFonts w:ascii="Times New Roman" w:hAnsi="Times New Roman"/>
          <w:sz w:val="26"/>
          <w:szCs w:val="26"/>
          <w:lang w:val="pt-BR"/>
        </w:rPr>
        <w:t>senso ao planejamento original do PNLT que visava equilibrar a matriz de transportes em benefício dos setores ferroviário e aquaviário</w:t>
      </w:r>
      <w:r w:rsidR="000B28D6">
        <w:rPr>
          <w:rFonts w:ascii="Times New Roman" w:hAnsi="Times New Roman"/>
          <w:sz w:val="26"/>
          <w:szCs w:val="26"/>
          <w:lang w:val="pt-BR"/>
        </w:rPr>
        <w:t>, ainda assim de forma limitada e decrescente desde 2010 no setor público</w:t>
      </w:r>
      <w:r>
        <w:rPr>
          <w:rFonts w:ascii="Times New Roman" w:hAnsi="Times New Roman"/>
          <w:sz w:val="26"/>
          <w:szCs w:val="26"/>
          <w:lang w:val="pt-BR"/>
        </w:rPr>
        <w:t xml:space="preserve">.  Não obstante, </w:t>
      </w:r>
      <w:r w:rsidR="00301694">
        <w:rPr>
          <w:rFonts w:ascii="Times New Roman" w:hAnsi="Times New Roman"/>
          <w:sz w:val="26"/>
          <w:szCs w:val="26"/>
          <w:lang w:val="pt-BR"/>
        </w:rPr>
        <w:t>os projetos em desenvolvimento ainda padecem de: restrições técnicas, como falhas e omissões nos projetos; dificuldade na obtenção de licenças ambientais; restrições orçamentárias; e falta de planejamento integrado, a fim de trazer maior integração modal à rede de transportes.</w:t>
      </w:r>
    </w:p>
    <w:p w:rsidR="00DC3B1A" w:rsidRPr="000476A7" w:rsidRDefault="00301694"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 xml:space="preserve">Ademais, o planejamento das concessões das infraestruturas de transportes, que em tese deveria ser discutido no Conit, aparentemente, tem sido arquitetado com um viés fiscal no Ministério do Planejamento, </w:t>
      </w:r>
      <w:r w:rsidR="007B3DFC">
        <w:rPr>
          <w:rFonts w:ascii="Times New Roman" w:hAnsi="Times New Roman"/>
          <w:sz w:val="26"/>
          <w:szCs w:val="26"/>
          <w:lang w:val="pt-BR"/>
        </w:rPr>
        <w:t>e não</w:t>
      </w:r>
      <w:r>
        <w:rPr>
          <w:rFonts w:ascii="Times New Roman" w:hAnsi="Times New Roman"/>
          <w:sz w:val="26"/>
          <w:szCs w:val="26"/>
          <w:lang w:val="pt-BR"/>
        </w:rPr>
        <w:t xml:space="preserve"> com um viés logístico nos Ministério dos Transportes, SAC ou SEP.</w:t>
      </w:r>
    </w:p>
    <w:p w:rsidR="00037982" w:rsidRPr="000476A7" w:rsidRDefault="007F21B6" w:rsidP="00E16077">
      <w:pPr>
        <w:pStyle w:val="Ttulo0"/>
        <w:rPr>
          <w:sz w:val="26"/>
          <w:szCs w:val="26"/>
        </w:rPr>
      </w:pPr>
      <w:r>
        <w:rPr>
          <w:sz w:val="26"/>
          <w:szCs w:val="26"/>
        </w:rPr>
        <w:br w:type="page"/>
      </w:r>
      <w:bookmarkStart w:id="18" w:name="_Toc442974387"/>
      <w:r w:rsidR="004175AF" w:rsidRPr="000476A7">
        <w:rPr>
          <w:sz w:val="26"/>
          <w:szCs w:val="26"/>
        </w:rPr>
        <w:t>6</w:t>
      </w:r>
      <w:r w:rsidR="006E0EA3" w:rsidRPr="000476A7">
        <w:rPr>
          <w:sz w:val="26"/>
          <w:szCs w:val="26"/>
        </w:rPr>
        <w:t>.</w:t>
      </w:r>
      <w:r w:rsidR="00037982" w:rsidRPr="000476A7">
        <w:rPr>
          <w:sz w:val="26"/>
          <w:szCs w:val="26"/>
        </w:rPr>
        <w:t xml:space="preserve"> Recomendações</w:t>
      </w:r>
      <w:bookmarkEnd w:id="18"/>
      <w:r w:rsidR="00037982" w:rsidRPr="000476A7">
        <w:rPr>
          <w:sz w:val="26"/>
          <w:szCs w:val="26"/>
        </w:rPr>
        <w:t xml:space="preserve"> </w:t>
      </w:r>
    </w:p>
    <w:p w:rsidR="00301694" w:rsidRDefault="00CD7B50" w:rsidP="000102FB">
      <w:pPr>
        <w:pStyle w:val="Normal-Escriba"/>
        <w:spacing w:after="360"/>
        <w:ind w:firstLine="1418"/>
        <w:rPr>
          <w:rFonts w:ascii="Times New Roman" w:hAnsi="Times New Roman"/>
          <w:sz w:val="26"/>
          <w:szCs w:val="26"/>
          <w:lang w:val="pt-BR"/>
        </w:rPr>
      </w:pPr>
      <w:r w:rsidRPr="00E65263">
        <w:rPr>
          <w:rFonts w:ascii="Times New Roman" w:hAnsi="Times New Roman"/>
          <w:sz w:val="26"/>
          <w:szCs w:val="26"/>
          <w:lang w:val="pt-BR"/>
        </w:rPr>
        <w:t>Em face do e</w:t>
      </w:r>
      <w:r w:rsidR="0044475E" w:rsidRPr="00E65263">
        <w:rPr>
          <w:rFonts w:ascii="Times New Roman" w:hAnsi="Times New Roman"/>
          <w:sz w:val="26"/>
          <w:szCs w:val="26"/>
          <w:lang w:val="pt-BR"/>
        </w:rPr>
        <w:t xml:space="preserve">xposto, </w:t>
      </w:r>
      <w:r w:rsidR="004610FE" w:rsidRPr="00E65263">
        <w:rPr>
          <w:rFonts w:ascii="Times New Roman" w:hAnsi="Times New Roman"/>
          <w:sz w:val="26"/>
          <w:szCs w:val="26"/>
          <w:lang w:val="pt-BR"/>
        </w:rPr>
        <w:t>recomend</w:t>
      </w:r>
      <w:r w:rsidR="00301694" w:rsidRPr="00E65263">
        <w:rPr>
          <w:rFonts w:ascii="Times New Roman" w:hAnsi="Times New Roman"/>
          <w:sz w:val="26"/>
          <w:szCs w:val="26"/>
          <w:lang w:val="pt-BR"/>
        </w:rPr>
        <w:t>amos</w:t>
      </w:r>
      <w:r w:rsidR="000E1D57">
        <w:rPr>
          <w:rFonts w:ascii="Times New Roman" w:hAnsi="Times New Roman"/>
          <w:sz w:val="26"/>
          <w:szCs w:val="26"/>
          <w:lang w:val="pt-BR"/>
        </w:rPr>
        <w:t xml:space="preserve"> ao Poder Executivo</w:t>
      </w:r>
      <w:r w:rsidR="00301694" w:rsidRPr="00E65263">
        <w:rPr>
          <w:rFonts w:ascii="Times New Roman" w:hAnsi="Times New Roman"/>
          <w:sz w:val="26"/>
          <w:szCs w:val="26"/>
          <w:lang w:val="pt-BR"/>
        </w:rPr>
        <w:t>:</w:t>
      </w:r>
    </w:p>
    <w:p w:rsidR="00BA4442" w:rsidRPr="007F21B6" w:rsidRDefault="00BA4442" w:rsidP="00BA4442">
      <w:pPr>
        <w:pStyle w:val="Normal-Escriba"/>
        <w:numPr>
          <w:ilvl w:val="0"/>
          <w:numId w:val="9"/>
        </w:numPr>
        <w:spacing w:after="360"/>
        <w:rPr>
          <w:rFonts w:ascii="Times New Roman" w:hAnsi="Times New Roman"/>
          <w:i/>
          <w:sz w:val="26"/>
          <w:szCs w:val="26"/>
          <w:lang w:val="pt-BR"/>
        </w:rPr>
      </w:pPr>
      <w:r w:rsidRPr="00AF2382">
        <w:rPr>
          <w:rFonts w:ascii="Times New Roman" w:hAnsi="Times New Roman"/>
          <w:i/>
          <w:sz w:val="26"/>
          <w:szCs w:val="26"/>
          <w:lang w:val="pt-BR"/>
        </w:rPr>
        <w:t>adotar</w:t>
      </w:r>
      <w:r w:rsidRPr="007F21B6">
        <w:rPr>
          <w:rFonts w:ascii="Times New Roman" w:hAnsi="Times New Roman"/>
          <w:i/>
          <w:sz w:val="26"/>
          <w:szCs w:val="26"/>
          <w:lang w:val="pt-BR"/>
        </w:rPr>
        <w:t xml:space="preserve"> </w:t>
      </w:r>
      <w:r w:rsidRPr="007F21B6">
        <w:rPr>
          <w:rFonts w:ascii="Times New Roman" w:hAnsi="Times New Roman"/>
          <w:sz w:val="26"/>
          <w:szCs w:val="26"/>
          <w:lang w:val="pt-BR"/>
        </w:rPr>
        <w:t>maior transparência e tornar mais frequentes e efetivas as reuniões do CONIT</w:t>
      </w:r>
      <w:r w:rsidRPr="007F21B6">
        <w:rPr>
          <w:rFonts w:ascii="Times New Roman" w:hAnsi="Times New Roman"/>
          <w:i/>
          <w:sz w:val="26"/>
          <w:szCs w:val="26"/>
          <w:lang w:val="pt-BR"/>
        </w:rPr>
        <w:t>;</w:t>
      </w:r>
    </w:p>
    <w:p w:rsidR="00BA4442" w:rsidRPr="007F21B6" w:rsidRDefault="00BA4442" w:rsidP="00BA4442">
      <w:pPr>
        <w:pStyle w:val="Normal-Escriba"/>
        <w:numPr>
          <w:ilvl w:val="0"/>
          <w:numId w:val="9"/>
        </w:numPr>
        <w:spacing w:after="360"/>
        <w:rPr>
          <w:rFonts w:ascii="Times New Roman" w:hAnsi="Times New Roman"/>
          <w:i/>
          <w:sz w:val="26"/>
          <w:szCs w:val="26"/>
          <w:lang w:val="pt-BR"/>
        </w:rPr>
      </w:pPr>
      <w:r w:rsidRPr="00AF2382">
        <w:rPr>
          <w:rFonts w:ascii="Times New Roman" w:hAnsi="Times New Roman"/>
          <w:i/>
          <w:sz w:val="26"/>
          <w:szCs w:val="26"/>
          <w:lang w:val="pt-BR"/>
        </w:rPr>
        <w:t>adotar</w:t>
      </w:r>
      <w:r w:rsidRPr="007F21B6">
        <w:rPr>
          <w:rFonts w:ascii="Times New Roman" w:hAnsi="Times New Roman"/>
          <w:i/>
          <w:sz w:val="26"/>
          <w:szCs w:val="26"/>
          <w:lang w:val="pt-BR"/>
        </w:rPr>
        <w:t xml:space="preserve"> </w:t>
      </w:r>
      <w:r w:rsidRPr="007F21B6">
        <w:rPr>
          <w:rFonts w:ascii="Times New Roman" w:hAnsi="Times New Roman"/>
          <w:sz w:val="26"/>
          <w:szCs w:val="26"/>
          <w:lang w:val="pt-BR"/>
        </w:rPr>
        <w:t>maior transparência, efetividade e continuidade na edição de planos de investimento em logíst</w:t>
      </w:r>
      <w:r w:rsidR="003752D9" w:rsidRPr="007F21B6">
        <w:rPr>
          <w:rFonts w:ascii="Times New Roman" w:hAnsi="Times New Roman"/>
          <w:sz w:val="26"/>
          <w:szCs w:val="26"/>
          <w:lang w:val="pt-BR"/>
        </w:rPr>
        <w:t>i</w:t>
      </w:r>
      <w:r w:rsidRPr="007F21B6">
        <w:rPr>
          <w:rFonts w:ascii="Times New Roman" w:hAnsi="Times New Roman"/>
          <w:sz w:val="26"/>
          <w:szCs w:val="26"/>
          <w:lang w:val="pt-BR"/>
        </w:rPr>
        <w:t>ca, sejam eles elaborados pelo MT, SEP, SAC ou EPL</w:t>
      </w:r>
      <w:r w:rsidRPr="007F21B6">
        <w:rPr>
          <w:rFonts w:ascii="Times New Roman" w:hAnsi="Times New Roman"/>
          <w:i/>
          <w:sz w:val="26"/>
          <w:szCs w:val="26"/>
          <w:lang w:val="pt-BR"/>
        </w:rPr>
        <w:t>;</w:t>
      </w:r>
    </w:p>
    <w:p w:rsidR="00BA4442" w:rsidRPr="007F21B6" w:rsidRDefault="00BA4442" w:rsidP="00BA4442">
      <w:pPr>
        <w:pStyle w:val="Normal-Escriba"/>
        <w:numPr>
          <w:ilvl w:val="0"/>
          <w:numId w:val="9"/>
        </w:numPr>
        <w:spacing w:after="360"/>
        <w:rPr>
          <w:rFonts w:ascii="Times New Roman" w:hAnsi="Times New Roman"/>
          <w:i/>
          <w:sz w:val="26"/>
          <w:szCs w:val="26"/>
          <w:lang w:val="pt-BR"/>
        </w:rPr>
      </w:pPr>
      <w:r w:rsidRPr="00AF2382">
        <w:rPr>
          <w:rFonts w:ascii="Times New Roman" w:hAnsi="Times New Roman"/>
          <w:i/>
          <w:sz w:val="26"/>
          <w:szCs w:val="26"/>
          <w:lang w:val="pt-BR"/>
        </w:rPr>
        <w:t>elaborar</w:t>
      </w:r>
      <w:r w:rsidRPr="007F21B6">
        <w:rPr>
          <w:rFonts w:ascii="Times New Roman" w:hAnsi="Times New Roman"/>
          <w:i/>
          <w:sz w:val="26"/>
          <w:szCs w:val="26"/>
          <w:lang w:val="pt-BR"/>
        </w:rPr>
        <w:t xml:space="preserve"> </w:t>
      </w:r>
      <w:r w:rsidRPr="007F21B6">
        <w:rPr>
          <w:rFonts w:ascii="Times New Roman" w:hAnsi="Times New Roman"/>
          <w:sz w:val="26"/>
          <w:szCs w:val="26"/>
          <w:lang w:val="pt-BR"/>
        </w:rPr>
        <w:t>relatórios anuais analíticos acerca da execução dos projetos propostos nos portfólios de investimento</w:t>
      </w:r>
      <w:r w:rsidR="00AF2382" w:rsidRPr="007F21B6">
        <w:rPr>
          <w:rFonts w:ascii="Times New Roman" w:hAnsi="Times New Roman"/>
          <w:sz w:val="26"/>
          <w:szCs w:val="26"/>
          <w:lang w:val="pt-BR"/>
        </w:rPr>
        <w:t xml:space="preserve"> dos planos nacionais de investimento em logís</w:t>
      </w:r>
      <w:r w:rsidR="003752D9" w:rsidRPr="007F21B6">
        <w:rPr>
          <w:rFonts w:ascii="Times New Roman" w:hAnsi="Times New Roman"/>
          <w:sz w:val="26"/>
          <w:szCs w:val="26"/>
          <w:lang w:val="pt-BR"/>
        </w:rPr>
        <w:t>ti</w:t>
      </w:r>
      <w:r w:rsidR="00AF2382" w:rsidRPr="007F21B6">
        <w:rPr>
          <w:rFonts w:ascii="Times New Roman" w:hAnsi="Times New Roman"/>
          <w:sz w:val="26"/>
          <w:szCs w:val="26"/>
          <w:lang w:val="pt-BR"/>
        </w:rPr>
        <w:t>ca, independente do modal</w:t>
      </w:r>
      <w:r w:rsidR="00AF2382" w:rsidRPr="007F21B6">
        <w:rPr>
          <w:rFonts w:ascii="Times New Roman" w:hAnsi="Times New Roman"/>
          <w:i/>
          <w:sz w:val="26"/>
          <w:szCs w:val="26"/>
          <w:lang w:val="pt-BR"/>
        </w:rPr>
        <w:t>;</w:t>
      </w:r>
    </w:p>
    <w:p w:rsidR="00AF2382" w:rsidRPr="007F21B6" w:rsidRDefault="00AF2382" w:rsidP="00BA4442">
      <w:pPr>
        <w:pStyle w:val="Normal-Escriba"/>
        <w:numPr>
          <w:ilvl w:val="0"/>
          <w:numId w:val="9"/>
        </w:numPr>
        <w:spacing w:after="360"/>
        <w:rPr>
          <w:rFonts w:ascii="Times New Roman" w:hAnsi="Times New Roman"/>
          <w:i/>
          <w:sz w:val="26"/>
          <w:szCs w:val="26"/>
          <w:lang w:val="pt-BR"/>
        </w:rPr>
      </w:pPr>
      <w:r w:rsidRPr="00AF2382">
        <w:rPr>
          <w:rFonts w:ascii="Times New Roman" w:hAnsi="Times New Roman"/>
          <w:i/>
          <w:sz w:val="26"/>
          <w:szCs w:val="26"/>
          <w:lang w:val="pt-BR"/>
        </w:rPr>
        <w:t>criar</w:t>
      </w:r>
      <w:r w:rsidRPr="007F21B6">
        <w:rPr>
          <w:rFonts w:ascii="Times New Roman" w:hAnsi="Times New Roman"/>
          <w:i/>
          <w:sz w:val="26"/>
          <w:szCs w:val="26"/>
          <w:lang w:val="pt-BR"/>
        </w:rPr>
        <w:t xml:space="preserve"> </w:t>
      </w:r>
      <w:r w:rsidRPr="007F21B6">
        <w:rPr>
          <w:rFonts w:ascii="Times New Roman" w:hAnsi="Times New Roman"/>
          <w:sz w:val="26"/>
          <w:szCs w:val="26"/>
          <w:lang w:val="pt-BR"/>
        </w:rPr>
        <w:t xml:space="preserve">um cadastro transparente e perene de projetos de obras públicas federais, que apresente indicador de prioridade </w:t>
      </w:r>
      <w:r w:rsidR="007F21B6">
        <w:rPr>
          <w:rFonts w:ascii="Times New Roman" w:hAnsi="Times New Roman"/>
          <w:sz w:val="26"/>
          <w:szCs w:val="26"/>
          <w:lang w:val="pt-BR"/>
        </w:rPr>
        <w:t xml:space="preserve">e estimativa de custos e benefícios </w:t>
      </w:r>
      <w:r w:rsidRPr="007F21B6">
        <w:rPr>
          <w:rFonts w:ascii="Times New Roman" w:hAnsi="Times New Roman"/>
          <w:sz w:val="26"/>
          <w:szCs w:val="26"/>
          <w:lang w:val="pt-BR"/>
        </w:rPr>
        <w:t>a fim de dar maior segurança a investimentos privados</w:t>
      </w:r>
      <w:r w:rsidRPr="007F21B6">
        <w:rPr>
          <w:rFonts w:ascii="Times New Roman" w:hAnsi="Times New Roman"/>
          <w:i/>
          <w:sz w:val="26"/>
          <w:szCs w:val="26"/>
          <w:lang w:val="pt-BR"/>
        </w:rPr>
        <w:t>;</w:t>
      </w:r>
    </w:p>
    <w:p w:rsidR="00AF2382" w:rsidRPr="007F21B6" w:rsidRDefault="00AF2382" w:rsidP="00BA4442">
      <w:pPr>
        <w:pStyle w:val="Normal-Escriba"/>
        <w:numPr>
          <w:ilvl w:val="0"/>
          <w:numId w:val="9"/>
        </w:numPr>
        <w:spacing w:after="360"/>
        <w:rPr>
          <w:rFonts w:ascii="Times New Roman" w:hAnsi="Times New Roman"/>
          <w:i/>
          <w:sz w:val="26"/>
          <w:szCs w:val="26"/>
          <w:lang w:val="pt-BR"/>
        </w:rPr>
      </w:pPr>
      <w:r w:rsidRPr="00AF2382">
        <w:rPr>
          <w:rFonts w:ascii="Times New Roman" w:hAnsi="Times New Roman"/>
          <w:i/>
          <w:sz w:val="26"/>
          <w:szCs w:val="26"/>
          <w:lang w:val="pt-BR"/>
        </w:rPr>
        <w:t>permitir</w:t>
      </w:r>
      <w:r w:rsidRPr="007F21B6">
        <w:rPr>
          <w:rFonts w:ascii="Times New Roman" w:hAnsi="Times New Roman"/>
          <w:i/>
          <w:sz w:val="26"/>
          <w:szCs w:val="26"/>
          <w:lang w:val="pt-BR"/>
        </w:rPr>
        <w:t xml:space="preserve"> </w:t>
      </w:r>
      <w:r w:rsidRPr="007F21B6">
        <w:rPr>
          <w:rFonts w:ascii="Times New Roman" w:hAnsi="Times New Roman"/>
          <w:sz w:val="26"/>
          <w:szCs w:val="26"/>
          <w:lang w:val="pt-BR"/>
        </w:rPr>
        <w:t>maior participação do Mercado por meio do instituto do Procedimento de Manifestação de Interesse na elaboração de projetos de obras públicas</w:t>
      </w:r>
      <w:r w:rsidRPr="007F21B6">
        <w:rPr>
          <w:rFonts w:ascii="Times New Roman" w:hAnsi="Times New Roman"/>
          <w:i/>
          <w:sz w:val="26"/>
          <w:szCs w:val="26"/>
          <w:lang w:val="pt-BR"/>
        </w:rPr>
        <w:t>;</w:t>
      </w:r>
    </w:p>
    <w:p w:rsidR="00AF2382" w:rsidRPr="007F21B6" w:rsidRDefault="00AF2382" w:rsidP="00BA4442">
      <w:pPr>
        <w:pStyle w:val="Normal-Escriba"/>
        <w:numPr>
          <w:ilvl w:val="0"/>
          <w:numId w:val="9"/>
        </w:numPr>
        <w:spacing w:after="360"/>
        <w:rPr>
          <w:rFonts w:ascii="Times New Roman" w:hAnsi="Times New Roman"/>
          <w:i/>
          <w:sz w:val="26"/>
          <w:szCs w:val="26"/>
          <w:lang w:val="pt-BR"/>
        </w:rPr>
      </w:pPr>
      <w:r w:rsidRPr="007F21B6">
        <w:rPr>
          <w:rFonts w:ascii="Times New Roman" w:hAnsi="Times New Roman"/>
          <w:i/>
          <w:sz w:val="26"/>
          <w:szCs w:val="26"/>
          <w:lang w:val="pt-BR"/>
        </w:rPr>
        <w:t xml:space="preserve">criar </w:t>
      </w:r>
      <w:r w:rsidRPr="007F21B6">
        <w:rPr>
          <w:rFonts w:ascii="Times New Roman" w:hAnsi="Times New Roman"/>
          <w:sz w:val="26"/>
          <w:szCs w:val="26"/>
          <w:lang w:val="pt-BR"/>
        </w:rPr>
        <w:t xml:space="preserve">um cadastro de obras públicas federais a fim de permitir maior </w:t>
      </w:r>
      <w:r w:rsidRPr="00AF2382">
        <w:rPr>
          <w:rFonts w:ascii="Times New Roman" w:hAnsi="Times New Roman"/>
          <w:i/>
          <w:sz w:val="26"/>
          <w:szCs w:val="26"/>
          <w:lang w:val="pt-BR"/>
        </w:rPr>
        <w:t>accountability</w:t>
      </w:r>
      <w:r w:rsidRPr="007F21B6">
        <w:rPr>
          <w:rFonts w:ascii="Times New Roman" w:hAnsi="Times New Roman"/>
          <w:i/>
          <w:sz w:val="26"/>
          <w:szCs w:val="26"/>
          <w:lang w:val="pt-BR"/>
        </w:rPr>
        <w:t xml:space="preserve"> </w:t>
      </w:r>
      <w:r w:rsidRPr="007F21B6">
        <w:rPr>
          <w:rFonts w:ascii="Times New Roman" w:hAnsi="Times New Roman"/>
          <w:sz w:val="26"/>
          <w:szCs w:val="26"/>
          <w:lang w:val="pt-BR"/>
        </w:rPr>
        <w:t>do investimento público</w:t>
      </w:r>
      <w:r w:rsidR="000E7308">
        <w:rPr>
          <w:rFonts w:ascii="Times New Roman" w:hAnsi="Times New Roman"/>
          <w:sz w:val="26"/>
          <w:szCs w:val="26"/>
          <w:lang w:val="pt-BR"/>
        </w:rPr>
        <w:t xml:space="preserve"> pela sociedade</w:t>
      </w:r>
      <w:r w:rsidR="007F21B6">
        <w:rPr>
          <w:rFonts w:ascii="Times New Roman" w:hAnsi="Times New Roman"/>
          <w:sz w:val="26"/>
          <w:szCs w:val="26"/>
          <w:lang w:val="pt-BR"/>
        </w:rPr>
        <w:t>, inclusive o acompanhamento das obras</w:t>
      </w:r>
      <w:r w:rsidRPr="007F21B6">
        <w:rPr>
          <w:rFonts w:ascii="Times New Roman" w:hAnsi="Times New Roman"/>
          <w:i/>
          <w:sz w:val="26"/>
          <w:szCs w:val="26"/>
          <w:lang w:val="pt-BR"/>
        </w:rPr>
        <w:t>;</w:t>
      </w:r>
    </w:p>
    <w:p w:rsidR="00AF2382" w:rsidRPr="007F21B6" w:rsidRDefault="00AF2382"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permitir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 xml:space="preserve">maior participação estrangeira </w:t>
      </w:r>
      <w:r w:rsidR="00D95597" w:rsidRPr="000E7308">
        <w:rPr>
          <w:rFonts w:ascii="Times New Roman" w:hAnsi="Times New Roman"/>
          <w:sz w:val="26"/>
          <w:szCs w:val="26"/>
          <w:lang w:val="pt-BR"/>
        </w:rPr>
        <w:t>na exploração de infraestruturas de transportes a fim de aumentar a competitividade das licitações e diminuir o custo Brasil</w:t>
      </w:r>
      <w:r w:rsidR="00D95597" w:rsidRPr="007F21B6">
        <w:rPr>
          <w:rFonts w:ascii="Times New Roman" w:hAnsi="Times New Roman"/>
          <w:i/>
          <w:sz w:val="26"/>
          <w:szCs w:val="26"/>
          <w:lang w:val="pt-BR"/>
        </w:rPr>
        <w:t>;</w:t>
      </w:r>
    </w:p>
    <w:p w:rsidR="00D95597" w:rsidRPr="007F21B6" w:rsidRDefault="00D95597"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alienar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a participação da Infraero nos aeroportos já concedidos a fim de salvaguardar o investimento público apenas nos aeroportos públicos</w:t>
      </w:r>
      <w:r w:rsidRPr="007F21B6">
        <w:rPr>
          <w:rFonts w:ascii="Times New Roman" w:hAnsi="Times New Roman"/>
          <w:i/>
          <w:sz w:val="26"/>
          <w:szCs w:val="26"/>
          <w:lang w:val="pt-BR"/>
        </w:rPr>
        <w:t>;</w:t>
      </w:r>
    </w:p>
    <w:p w:rsidR="00D95597" w:rsidRPr="007F21B6" w:rsidRDefault="00D95597"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vetar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a participação da Infraero nas futuras concessões aeroportuárias</w:t>
      </w:r>
      <w:r w:rsidRPr="007F21B6">
        <w:rPr>
          <w:rFonts w:ascii="Times New Roman" w:hAnsi="Times New Roman"/>
          <w:i/>
          <w:sz w:val="26"/>
          <w:szCs w:val="26"/>
          <w:lang w:val="pt-BR"/>
        </w:rPr>
        <w:t>;</w:t>
      </w:r>
    </w:p>
    <w:p w:rsidR="00D95597" w:rsidRPr="007F21B6" w:rsidRDefault="00D95597"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ampliar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a adoção do instituto da concessão para implantação de novas rodovias e ferrovias, não apenas manutenção das pré-existentes</w:t>
      </w:r>
      <w:r w:rsidRPr="007F21B6">
        <w:rPr>
          <w:rFonts w:ascii="Times New Roman" w:hAnsi="Times New Roman"/>
          <w:i/>
          <w:sz w:val="26"/>
          <w:szCs w:val="26"/>
          <w:lang w:val="pt-BR"/>
        </w:rPr>
        <w:t>;</w:t>
      </w:r>
    </w:p>
    <w:p w:rsidR="00D95597" w:rsidRPr="007F21B6" w:rsidRDefault="00D95597"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priorizar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 xml:space="preserve">a concessão de infraestruturas ferroviárias conectadas à malha atual </w:t>
      </w:r>
      <w:r w:rsidR="000E7308">
        <w:rPr>
          <w:rFonts w:ascii="Times New Roman" w:hAnsi="Times New Roman"/>
          <w:sz w:val="26"/>
          <w:szCs w:val="26"/>
          <w:lang w:val="pt-BR"/>
        </w:rPr>
        <w:t xml:space="preserve">em bitola larga ou mista </w:t>
      </w:r>
      <w:r w:rsidRPr="000E7308">
        <w:rPr>
          <w:rFonts w:ascii="Times New Roman" w:hAnsi="Times New Roman"/>
          <w:sz w:val="26"/>
          <w:szCs w:val="26"/>
          <w:lang w:val="pt-BR"/>
        </w:rPr>
        <w:t>a fim de dar maior sinergia à rede</w:t>
      </w:r>
      <w:r w:rsidRPr="007F21B6">
        <w:rPr>
          <w:rFonts w:ascii="Times New Roman" w:hAnsi="Times New Roman"/>
          <w:i/>
          <w:sz w:val="26"/>
          <w:szCs w:val="26"/>
          <w:lang w:val="pt-BR"/>
        </w:rPr>
        <w:t>;</w:t>
      </w:r>
    </w:p>
    <w:p w:rsidR="00D95597" w:rsidRPr="007F21B6" w:rsidRDefault="00D95597" w:rsidP="00BA4442">
      <w:pPr>
        <w:pStyle w:val="Normal-Escriba"/>
        <w:numPr>
          <w:ilvl w:val="0"/>
          <w:numId w:val="9"/>
        </w:numPr>
        <w:spacing w:after="360"/>
        <w:rPr>
          <w:rFonts w:ascii="Times New Roman" w:hAnsi="Times New Roman"/>
          <w:i/>
          <w:sz w:val="26"/>
          <w:szCs w:val="26"/>
          <w:lang w:val="pt-BR"/>
        </w:rPr>
      </w:pPr>
      <w:r w:rsidRPr="00D95597">
        <w:rPr>
          <w:rFonts w:ascii="Times New Roman" w:hAnsi="Times New Roman"/>
          <w:i/>
          <w:sz w:val="26"/>
          <w:szCs w:val="26"/>
          <w:lang w:val="pt-BR"/>
        </w:rPr>
        <w:t>priorizar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a concessão de infraestruturas rodoviárias conectadas à rede ferroviária a fim de aumentar a intermodalidade e equilibrar a matriz de transportes;</w:t>
      </w:r>
    </w:p>
    <w:p w:rsidR="00C1613C" w:rsidRPr="007F21B6" w:rsidRDefault="00C1613C" w:rsidP="00BA4442">
      <w:pPr>
        <w:pStyle w:val="Normal-Escriba"/>
        <w:numPr>
          <w:ilvl w:val="0"/>
          <w:numId w:val="9"/>
        </w:numPr>
        <w:spacing w:after="360"/>
        <w:rPr>
          <w:rFonts w:ascii="Times New Roman" w:hAnsi="Times New Roman"/>
          <w:i/>
          <w:sz w:val="26"/>
          <w:szCs w:val="26"/>
          <w:lang w:val="pt-BR"/>
        </w:rPr>
      </w:pPr>
      <w:r>
        <w:rPr>
          <w:rFonts w:ascii="Times New Roman" w:hAnsi="Times New Roman"/>
          <w:i/>
          <w:sz w:val="26"/>
          <w:szCs w:val="26"/>
          <w:lang w:val="pt-BR"/>
        </w:rPr>
        <w:t>condicionar</w:t>
      </w:r>
      <w:r w:rsidRPr="007F21B6">
        <w:rPr>
          <w:rFonts w:ascii="Times New Roman" w:hAnsi="Times New Roman"/>
          <w:i/>
          <w:sz w:val="26"/>
          <w:szCs w:val="26"/>
          <w:lang w:val="pt-BR"/>
        </w:rPr>
        <w:t xml:space="preserve"> </w:t>
      </w:r>
      <w:r w:rsidRPr="000E7308">
        <w:rPr>
          <w:rFonts w:ascii="Times New Roman" w:hAnsi="Times New Roman"/>
          <w:sz w:val="26"/>
          <w:szCs w:val="26"/>
          <w:lang w:val="pt-BR"/>
        </w:rPr>
        <w:t xml:space="preserve">a </w:t>
      </w:r>
      <w:r w:rsidR="000E7308" w:rsidRPr="000E7308">
        <w:rPr>
          <w:rFonts w:ascii="Times New Roman" w:hAnsi="Times New Roman"/>
          <w:sz w:val="26"/>
          <w:szCs w:val="26"/>
          <w:lang w:val="pt-BR"/>
        </w:rPr>
        <w:t xml:space="preserve">eventual </w:t>
      </w:r>
      <w:r w:rsidRPr="000E7308">
        <w:rPr>
          <w:rFonts w:ascii="Times New Roman" w:hAnsi="Times New Roman"/>
          <w:sz w:val="26"/>
          <w:szCs w:val="26"/>
          <w:lang w:val="pt-BR"/>
        </w:rPr>
        <w:t>prorrogação por mais 30 anos das atuais concessões ferroviárias à ampliação da capacidade da rede, pelo aumento da extensão das linhas ou adoção de bitolas mistas nas áreas de contato com outras linhas, por exemplo;</w:t>
      </w:r>
    </w:p>
    <w:p w:rsidR="00C1613C" w:rsidRPr="007F21B6" w:rsidRDefault="00C1613C" w:rsidP="00BA4442">
      <w:pPr>
        <w:pStyle w:val="Normal-Escriba"/>
        <w:numPr>
          <w:ilvl w:val="0"/>
          <w:numId w:val="9"/>
        </w:numPr>
        <w:spacing w:after="360"/>
        <w:rPr>
          <w:rFonts w:ascii="Times New Roman" w:hAnsi="Times New Roman"/>
          <w:i/>
          <w:sz w:val="26"/>
          <w:szCs w:val="26"/>
          <w:lang w:val="pt-BR"/>
        </w:rPr>
      </w:pPr>
      <w:r w:rsidRPr="007F21B6">
        <w:rPr>
          <w:rFonts w:ascii="Times New Roman" w:hAnsi="Times New Roman"/>
          <w:i/>
          <w:sz w:val="26"/>
          <w:szCs w:val="26"/>
          <w:lang w:val="pt-BR"/>
        </w:rPr>
        <w:t xml:space="preserve"> </w:t>
      </w:r>
      <w:r>
        <w:rPr>
          <w:rFonts w:ascii="Times New Roman" w:hAnsi="Times New Roman"/>
          <w:i/>
          <w:sz w:val="26"/>
          <w:szCs w:val="26"/>
          <w:lang w:val="pt-BR"/>
        </w:rPr>
        <w:t>priorizar</w:t>
      </w:r>
      <w:r w:rsidRPr="007F21B6">
        <w:rPr>
          <w:rFonts w:ascii="Times New Roman" w:hAnsi="Times New Roman"/>
          <w:i/>
          <w:sz w:val="26"/>
          <w:szCs w:val="26"/>
          <w:lang w:val="pt-BR"/>
        </w:rPr>
        <w:t xml:space="preserve"> </w:t>
      </w:r>
      <w:r w:rsidRPr="00DF4EF6">
        <w:rPr>
          <w:rFonts w:ascii="Times New Roman" w:hAnsi="Times New Roman"/>
          <w:sz w:val="26"/>
          <w:szCs w:val="26"/>
          <w:lang w:val="pt-BR"/>
        </w:rPr>
        <w:t>a indicação dos Diretores das Agências Reguladoras quando vagos os respectivos cargos</w:t>
      </w:r>
      <w:r w:rsidRPr="007F21B6">
        <w:rPr>
          <w:rFonts w:ascii="Times New Roman" w:hAnsi="Times New Roman"/>
          <w:i/>
          <w:sz w:val="26"/>
          <w:szCs w:val="26"/>
          <w:lang w:val="pt-BR"/>
        </w:rPr>
        <w:t>;</w:t>
      </w:r>
    </w:p>
    <w:p w:rsidR="00C1613C" w:rsidRDefault="000E7308" w:rsidP="00BA4442">
      <w:pPr>
        <w:pStyle w:val="Normal-Escriba"/>
        <w:numPr>
          <w:ilvl w:val="0"/>
          <w:numId w:val="9"/>
        </w:numPr>
        <w:spacing w:after="360"/>
        <w:rPr>
          <w:rFonts w:ascii="Times New Roman" w:hAnsi="Times New Roman"/>
          <w:sz w:val="26"/>
          <w:szCs w:val="26"/>
          <w:lang w:val="pt-BR"/>
        </w:rPr>
      </w:pPr>
      <w:r w:rsidRPr="000E7308">
        <w:rPr>
          <w:rFonts w:ascii="Times New Roman" w:hAnsi="Times New Roman"/>
          <w:i/>
          <w:sz w:val="26"/>
          <w:szCs w:val="26"/>
          <w:lang w:val="pt-BR"/>
        </w:rPr>
        <w:t>regulamentar</w:t>
      </w:r>
      <w:r>
        <w:rPr>
          <w:rFonts w:ascii="Times New Roman" w:hAnsi="Times New Roman"/>
          <w:sz w:val="26"/>
          <w:szCs w:val="26"/>
          <w:lang w:val="pt-BR"/>
        </w:rPr>
        <w:t xml:space="preserve"> </w:t>
      </w:r>
      <w:r w:rsidR="00C1613C">
        <w:rPr>
          <w:rFonts w:ascii="Times New Roman" w:hAnsi="Times New Roman"/>
          <w:sz w:val="26"/>
          <w:szCs w:val="26"/>
          <w:lang w:val="pt-BR"/>
        </w:rPr>
        <w:t>a cobrança do uso de águas públicas</w:t>
      </w:r>
      <w:r>
        <w:rPr>
          <w:rFonts w:ascii="Times New Roman" w:hAnsi="Times New Roman"/>
          <w:sz w:val="26"/>
          <w:szCs w:val="26"/>
          <w:lang w:val="pt-BR"/>
        </w:rPr>
        <w:t>, abstendo-se da cobrança d</w:t>
      </w:r>
      <w:r w:rsidR="00C1613C">
        <w:rPr>
          <w:rFonts w:ascii="Times New Roman" w:hAnsi="Times New Roman"/>
          <w:sz w:val="26"/>
          <w:szCs w:val="26"/>
          <w:lang w:val="pt-BR"/>
        </w:rPr>
        <w:t>as instalações portuárias públicas ou privadas;</w:t>
      </w:r>
    </w:p>
    <w:p w:rsidR="008804E7" w:rsidRPr="00194C40" w:rsidRDefault="009A52BA" w:rsidP="00BA4442">
      <w:pPr>
        <w:pStyle w:val="Normal-Escriba"/>
        <w:numPr>
          <w:ilvl w:val="0"/>
          <w:numId w:val="9"/>
        </w:numPr>
        <w:spacing w:after="360"/>
        <w:rPr>
          <w:rFonts w:ascii="Times New Roman" w:hAnsi="Times New Roman"/>
          <w:sz w:val="26"/>
          <w:szCs w:val="26"/>
          <w:lang w:val="pt-BR"/>
        </w:rPr>
      </w:pPr>
      <w:r w:rsidRPr="009A52BA">
        <w:rPr>
          <w:rFonts w:ascii="Times New Roman" w:hAnsi="Times New Roman"/>
          <w:i/>
          <w:sz w:val="26"/>
          <w:szCs w:val="26"/>
          <w:lang w:val="pt-BR"/>
        </w:rPr>
        <w:t>fomentar</w:t>
      </w:r>
      <w:r w:rsidRPr="009A52BA">
        <w:rPr>
          <w:rFonts w:ascii="Times New Roman" w:hAnsi="Times New Roman"/>
          <w:sz w:val="26"/>
          <w:szCs w:val="26"/>
          <w:lang w:val="pt-BR"/>
        </w:rPr>
        <w:t xml:space="preserve"> a aviação regional através de incentivos ao uso de aeronaves de menor porte em complemento </w:t>
      </w:r>
      <w:r w:rsidRPr="00194C40">
        <w:rPr>
          <w:rFonts w:ascii="Times New Roman" w:hAnsi="Times New Roman"/>
          <w:sz w:val="26"/>
          <w:szCs w:val="26"/>
          <w:lang w:val="pt-BR"/>
        </w:rPr>
        <w:t>à malha aérea de maior fluxo de passageiros;</w:t>
      </w:r>
    </w:p>
    <w:p w:rsidR="009A52BA" w:rsidRDefault="009A52BA" w:rsidP="00BA4442">
      <w:pPr>
        <w:pStyle w:val="Normal-Escriba"/>
        <w:numPr>
          <w:ilvl w:val="0"/>
          <w:numId w:val="9"/>
        </w:numPr>
        <w:spacing w:after="360"/>
        <w:rPr>
          <w:rFonts w:ascii="Times New Roman" w:hAnsi="Times New Roman"/>
          <w:sz w:val="26"/>
          <w:szCs w:val="26"/>
          <w:lang w:val="pt-BR"/>
        </w:rPr>
      </w:pPr>
      <w:r w:rsidRPr="009A52BA">
        <w:rPr>
          <w:rFonts w:ascii="Times New Roman" w:hAnsi="Times New Roman"/>
          <w:i/>
          <w:sz w:val="26"/>
          <w:szCs w:val="26"/>
          <w:lang w:val="pt-BR"/>
        </w:rPr>
        <w:t>reduzir</w:t>
      </w:r>
      <w:r w:rsidRPr="009A52BA">
        <w:rPr>
          <w:rFonts w:ascii="Times New Roman" w:hAnsi="Times New Roman"/>
          <w:sz w:val="26"/>
          <w:szCs w:val="26"/>
          <w:lang w:val="pt-BR"/>
        </w:rPr>
        <w:t xml:space="preserve"> a carga burocrática para operação de aviação de pequeno porte</w:t>
      </w:r>
      <w:r>
        <w:rPr>
          <w:rFonts w:ascii="Times New Roman" w:hAnsi="Times New Roman"/>
          <w:sz w:val="26"/>
          <w:szCs w:val="26"/>
          <w:lang w:val="pt-BR"/>
        </w:rPr>
        <w:t>;</w:t>
      </w:r>
    </w:p>
    <w:p w:rsidR="009A52BA" w:rsidRDefault="009A52BA" w:rsidP="00BA4442">
      <w:pPr>
        <w:pStyle w:val="Normal-Escriba"/>
        <w:numPr>
          <w:ilvl w:val="0"/>
          <w:numId w:val="9"/>
        </w:numPr>
        <w:spacing w:after="360"/>
        <w:rPr>
          <w:rFonts w:ascii="Times New Roman" w:hAnsi="Times New Roman"/>
          <w:sz w:val="26"/>
          <w:szCs w:val="26"/>
          <w:lang w:val="pt-BR"/>
        </w:rPr>
      </w:pPr>
      <w:r>
        <w:rPr>
          <w:rFonts w:ascii="Times New Roman" w:hAnsi="Times New Roman"/>
          <w:sz w:val="26"/>
          <w:szCs w:val="26"/>
          <w:lang w:val="pt-BR"/>
        </w:rPr>
        <w:t xml:space="preserve"> </w:t>
      </w:r>
      <w:r w:rsidRPr="009A52BA">
        <w:rPr>
          <w:rFonts w:ascii="Times New Roman" w:hAnsi="Times New Roman"/>
          <w:i/>
          <w:sz w:val="26"/>
          <w:szCs w:val="26"/>
          <w:lang w:val="pt-BR"/>
        </w:rPr>
        <w:t xml:space="preserve">priorizar </w:t>
      </w:r>
      <w:r>
        <w:rPr>
          <w:rFonts w:ascii="Times New Roman" w:hAnsi="Times New Roman"/>
          <w:sz w:val="26"/>
          <w:szCs w:val="26"/>
          <w:lang w:val="pt-BR"/>
        </w:rPr>
        <w:t xml:space="preserve">fiscalização e </w:t>
      </w:r>
      <w:r w:rsidRPr="009A52BA">
        <w:rPr>
          <w:rFonts w:ascii="Times New Roman" w:hAnsi="Times New Roman"/>
          <w:sz w:val="26"/>
          <w:szCs w:val="26"/>
          <w:lang w:val="pt-BR"/>
        </w:rPr>
        <w:t>combate aos táxi aéreos clandestinos;</w:t>
      </w:r>
      <w:r w:rsidR="00DF4EF6">
        <w:rPr>
          <w:rFonts w:ascii="Times New Roman" w:hAnsi="Times New Roman"/>
          <w:sz w:val="26"/>
          <w:szCs w:val="26"/>
          <w:lang w:val="pt-BR"/>
        </w:rPr>
        <w:t xml:space="preserve"> e</w:t>
      </w:r>
    </w:p>
    <w:p w:rsidR="009A52BA" w:rsidRPr="009A52BA" w:rsidRDefault="00DF4EF6" w:rsidP="00BA4442">
      <w:pPr>
        <w:pStyle w:val="Normal-Escriba"/>
        <w:numPr>
          <w:ilvl w:val="0"/>
          <w:numId w:val="9"/>
        </w:numPr>
        <w:spacing w:after="360"/>
        <w:rPr>
          <w:rFonts w:ascii="Times New Roman" w:hAnsi="Times New Roman"/>
          <w:sz w:val="26"/>
          <w:szCs w:val="26"/>
          <w:lang w:val="pt-BR"/>
        </w:rPr>
      </w:pPr>
      <w:r>
        <w:rPr>
          <w:rFonts w:ascii="Times New Roman" w:hAnsi="Times New Roman"/>
          <w:i/>
          <w:sz w:val="26"/>
          <w:szCs w:val="26"/>
          <w:lang w:val="pt-BR"/>
        </w:rPr>
        <w:t xml:space="preserve"> harmonizar </w:t>
      </w:r>
      <w:r>
        <w:rPr>
          <w:rFonts w:ascii="Times New Roman" w:hAnsi="Times New Roman"/>
          <w:sz w:val="26"/>
          <w:szCs w:val="26"/>
          <w:lang w:val="pt-BR"/>
        </w:rPr>
        <w:t xml:space="preserve"> a política tributária aplicada aos combustíveis, a fim de incentivar a adoção dos modais mais econômicos.</w:t>
      </w:r>
    </w:p>
    <w:p w:rsidR="00C1613C" w:rsidRDefault="00C1613C" w:rsidP="000102FB">
      <w:pPr>
        <w:pStyle w:val="Normal-Escriba"/>
        <w:spacing w:after="360"/>
        <w:ind w:firstLine="1418"/>
        <w:rPr>
          <w:rFonts w:ascii="Times New Roman" w:hAnsi="Times New Roman"/>
          <w:sz w:val="26"/>
          <w:szCs w:val="26"/>
          <w:lang w:val="pt-BR"/>
        </w:rPr>
      </w:pPr>
      <w:r>
        <w:rPr>
          <w:rFonts w:ascii="Times New Roman" w:hAnsi="Times New Roman"/>
          <w:sz w:val="26"/>
          <w:szCs w:val="26"/>
          <w:lang w:val="pt-BR"/>
        </w:rPr>
        <w:t>Ademais, recomendamos ao Poder Legislativo:</w:t>
      </w:r>
    </w:p>
    <w:p w:rsidR="00C1613C" w:rsidRDefault="00C1613C" w:rsidP="00C1613C">
      <w:pPr>
        <w:pStyle w:val="Normal-Escriba"/>
        <w:numPr>
          <w:ilvl w:val="0"/>
          <w:numId w:val="11"/>
        </w:numPr>
        <w:spacing w:after="360"/>
        <w:rPr>
          <w:rFonts w:ascii="Times New Roman" w:hAnsi="Times New Roman"/>
          <w:sz w:val="26"/>
          <w:szCs w:val="26"/>
          <w:lang w:val="pt-BR"/>
        </w:rPr>
      </w:pPr>
      <w:r w:rsidRPr="00641E16">
        <w:rPr>
          <w:rFonts w:ascii="Times New Roman" w:hAnsi="Times New Roman"/>
          <w:i/>
          <w:sz w:val="26"/>
          <w:szCs w:val="26"/>
          <w:lang w:val="pt-BR"/>
        </w:rPr>
        <w:t>instituir</w:t>
      </w:r>
      <w:r>
        <w:rPr>
          <w:rFonts w:ascii="Times New Roman" w:hAnsi="Times New Roman"/>
          <w:sz w:val="26"/>
          <w:szCs w:val="26"/>
          <w:lang w:val="pt-BR"/>
        </w:rPr>
        <w:t xml:space="preserve"> o marco regulatório do setor ferroviário a fim de dar segurança jurídica aos investimentos;</w:t>
      </w:r>
    </w:p>
    <w:p w:rsidR="00641E16" w:rsidRDefault="00D21138" w:rsidP="00C1613C">
      <w:pPr>
        <w:pStyle w:val="Normal-Escriba"/>
        <w:numPr>
          <w:ilvl w:val="0"/>
          <w:numId w:val="11"/>
        </w:numPr>
        <w:spacing w:after="360"/>
        <w:rPr>
          <w:rFonts w:ascii="Times New Roman" w:hAnsi="Times New Roman"/>
          <w:sz w:val="26"/>
          <w:szCs w:val="26"/>
          <w:lang w:val="pt-BR"/>
        </w:rPr>
      </w:pPr>
      <w:r>
        <w:rPr>
          <w:rFonts w:ascii="Times New Roman" w:hAnsi="Times New Roman"/>
          <w:i/>
          <w:sz w:val="26"/>
          <w:szCs w:val="26"/>
          <w:lang w:val="pt-BR"/>
        </w:rPr>
        <w:t>normatizar</w:t>
      </w:r>
      <w:r w:rsidR="008804E7">
        <w:rPr>
          <w:rFonts w:ascii="Times New Roman" w:hAnsi="Times New Roman"/>
          <w:sz w:val="26"/>
          <w:szCs w:val="26"/>
          <w:lang w:val="pt-BR"/>
        </w:rPr>
        <w:t xml:space="preserve"> </w:t>
      </w:r>
      <w:r w:rsidR="009A52BA">
        <w:rPr>
          <w:rFonts w:ascii="Times New Roman" w:hAnsi="Times New Roman"/>
          <w:sz w:val="26"/>
          <w:szCs w:val="26"/>
          <w:lang w:val="pt-BR"/>
        </w:rPr>
        <w:t xml:space="preserve">a licença ambiental </w:t>
      </w:r>
      <w:r w:rsidR="009A52BA" w:rsidRPr="00006C40">
        <w:rPr>
          <w:rFonts w:ascii="Times New Roman" w:hAnsi="Times New Roman"/>
          <w:i/>
          <w:sz w:val="26"/>
          <w:szCs w:val="26"/>
          <w:lang w:val="pt-BR"/>
        </w:rPr>
        <w:t>fast track</w:t>
      </w:r>
      <w:r w:rsidR="009A52BA">
        <w:rPr>
          <w:rFonts w:ascii="Times New Roman" w:hAnsi="Times New Roman"/>
          <w:sz w:val="26"/>
          <w:szCs w:val="26"/>
          <w:lang w:val="pt-BR"/>
        </w:rPr>
        <w:t xml:space="preserve"> para </w:t>
      </w:r>
      <w:r w:rsidR="00006C40">
        <w:rPr>
          <w:rFonts w:ascii="Times New Roman" w:hAnsi="Times New Roman"/>
          <w:sz w:val="26"/>
          <w:szCs w:val="26"/>
          <w:lang w:val="pt-BR"/>
        </w:rPr>
        <w:t>obras estruturantes conforme proposto na Agenda Brasil;</w:t>
      </w:r>
    </w:p>
    <w:p w:rsidR="00006C40" w:rsidRDefault="00D21138" w:rsidP="00C1613C">
      <w:pPr>
        <w:pStyle w:val="Normal-Escriba"/>
        <w:numPr>
          <w:ilvl w:val="0"/>
          <w:numId w:val="11"/>
        </w:numPr>
        <w:spacing w:after="360"/>
        <w:rPr>
          <w:rFonts w:ascii="Times New Roman" w:hAnsi="Times New Roman"/>
          <w:sz w:val="26"/>
          <w:szCs w:val="26"/>
          <w:lang w:val="pt-BR"/>
        </w:rPr>
      </w:pPr>
      <w:r>
        <w:rPr>
          <w:rFonts w:ascii="Times New Roman" w:hAnsi="Times New Roman"/>
          <w:i/>
          <w:sz w:val="26"/>
          <w:szCs w:val="26"/>
          <w:lang w:val="pt-BR"/>
        </w:rPr>
        <w:t>aperfeiçoar</w:t>
      </w:r>
      <w:r w:rsidR="00006C40" w:rsidRPr="00006C40">
        <w:rPr>
          <w:rFonts w:ascii="Times New Roman" w:hAnsi="Times New Roman"/>
          <w:i/>
          <w:sz w:val="26"/>
          <w:szCs w:val="26"/>
          <w:lang w:val="pt-BR"/>
        </w:rPr>
        <w:t xml:space="preserve"> </w:t>
      </w:r>
      <w:r w:rsidR="00006C40">
        <w:rPr>
          <w:rFonts w:ascii="Times New Roman" w:hAnsi="Times New Roman"/>
          <w:sz w:val="26"/>
          <w:szCs w:val="26"/>
          <w:lang w:val="pt-BR"/>
        </w:rPr>
        <w:t xml:space="preserve">o marco regulatório das futuras concessões de aeroportos, permitindo planejamento antecipado do investimento privado; </w:t>
      </w:r>
    </w:p>
    <w:p w:rsidR="00006C40" w:rsidRPr="009A52BA" w:rsidRDefault="00006C40" w:rsidP="00006C40">
      <w:pPr>
        <w:pStyle w:val="Normal-Escriba"/>
        <w:numPr>
          <w:ilvl w:val="0"/>
          <w:numId w:val="11"/>
        </w:numPr>
        <w:spacing w:after="360"/>
        <w:rPr>
          <w:rFonts w:ascii="Times New Roman" w:hAnsi="Times New Roman"/>
          <w:sz w:val="26"/>
          <w:szCs w:val="26"/>
          <w:lang w:val="pt-BR"/>
        </w:rPr>
      </w:pPr>
      <w:r>
        <w:rPr>
          <w:rFonts w:ascii="Times New Roman" w:hAnsi="Times New Roman"/>
          <w:i/>
          <w:sz w:val="26"/>
          <w:szCs w:val="26"/>
          <w:lang w:val="pt-BR"/>
        </w:rPr>
        <w:t>aperfeiçoar</w:t>
      </w:r>
      <w:r w:rsidRPr="00006C40">
        <w:rPr>
          <w:rFonts w:ascii="Times New Roman" w:hAnsi="Times New Roman"/>
          <w:sz w:val="26"/>
          <w:szCs w:val="26"/>
          <w:lang w:val="pt-BR"/>
        </w:rPr>
        <w:t xml:space="preserve"> a legislação para permitir</w:t>
      </w:r>
      <w:r w:rsidRPr="00D6422C">
        <w:rPr>
          <w:rFonts w:ascii="Times New Roman" w:hAnsi="Times New Roman"/>
          <w:sz w:val="26"/>
          <w:szCs w:val="26"/>
          <w:lang w:val="pt-BR"/>
        </w:rPr>
        <w:t xml:space="preserve"> a participação do capital estrangeiro nas operadoras de serviços de transporte aéreo regular</w:t>
      </w:r>
      <w:r w:rsidRPr="009A52BA">
        <w:rPr>
          <w:rFonts w:ascii="Times New Roman" w:hAnsi="Times New Roman"/>
          <w:sz w:val="26"/>
          <w:szCs w:val="26"/>
          <w:lang w:val="pt-BR"/>
        </w:rPr>
        <w:t>;</w:t>
      </w:r>
    </w:p>
    <w:p w:rsidR="00006C40" w:rsidRDefault="00DF4EF6" w:rsidP="00C1613C">
      <w:pPr>
        <w:pStyle w:val="Normal-Escriba"/>
        <w:numPr>
          <w:ilvl w:val="0"/>
          <w:numId w:val="11"/>
        </w:numPr>
        <w:spacing w:after="360"/>
        <w:rPr>
          <w:rFonts w:ascii="Times New Roman" w:hAnsi="Times New Roman"/>
          <w:sz w:val="26"/>
          <w:szCs w:val="26"/>
          <w:lang w:val="pt-BR"/>
        </w:rPr>
      </w:pPr>
      <w:r w:rsidRPr="00D21138">
        <w:rPr>
          <w:rFonts w:ascii="Times New Roman" w:hAnsi="Times New Roman"/>
          <w:i/>
          <w:sz w:val="26"/>
          <w:szCs w:val="26"/>
          <w:lang w:val="pt-BR"/>
        </w:rPr>
        <w:t>instituir</w:t>
      </w:r>
      <w:r>
        <w:rPr>
          <w:rFonts w:ascii="Times New Roman" w:hAnsi="Times New Roman"/>
          <w:sz w:val="26"/>
          <w:szCs w:val="26"/>
          <w:lang w:val="pt-BR"/>
        </w:rPr>
        <w:t xml:space="preserve"> prazo máximo para indicação de Diretores de Agências Reguladoras;</w:t>
      </w:r>
    </w:p>
    <w:p w:rsidR="009E7AC9" w:rsidRPr="000476A7" w:rsidRDefault="009E7AC9" w:rsidP="000102FB">
      <w:pPr>
        <w:pStyle w:val="Normal-Escriba"/>
        <w:spacing w:after="360"/>
        <w:ind w:firstLine="1418"/>
        <w:rPr>
          <w:rFonts w:ascii="Times New Roman" w:hAnsi="Times New Roman"/>
          <w:sz w:val="26"/>
          <w:szCs w:val="26"/>
          <w:lang w:val="pt-BR"/>
        </w:rPr>
      </w:pPr>
    </w:p>
    <w:p w:rsidR="00E76355" w:rsidRPr="000476A7" w:rsidRDefault="0057084D" w:rsidP="00C1053A">
      <w:pPr>
        <w:pStyle w:val="Corpodetexto"/>
        <w:spacing w:after="120"/>
        <w:ind w:firstLine="1418"/>
        <w:rPr>
          <w:sz w:val="26"/>
          <w:szCs w:val="26"/>
        </w:rPr>
      </w:pPr>
      <w:r w:rsidRPr="000476A7">
        <w:rPr>
          <w:sz w:val="26"/>
          <w:szCs w:val="26"/>
        </w:rPr>
        <w:t xml:space="preserve">Esse é o relatório que submetemos à aprovação dos </w:t>
      </w:r>
      <w:r w:rsidR="004610FE" w:rsidRPr="000476A7">
        <w:rPr>
          <w:sz w:val="26"/>
          <w:szCs w:val="26"/>
        </w:rPr>
        <w:t xml:space="preserve">meus </w:t>
      </w:r>
      <w:r w:rsidRPr="000476A7">
        <w:rPr>
          <w:sz w:val="26"/>
          <w:szCs w:val="26"/>
        </w:rPr>
        <w:t xml:space="preserve">ilustres </w:t>
      </w:r>
      <w:r w:rsidR="004C63DF" w:rsidRPr="000476A7">
        <w:rPr>
          <w:sz w:val="26"/>
          <w:szCs w:val="26"/>
        </w:rPr>
        <w:t xml:space="preserve">Pares </w:t>
      </w:r>
      <w:r w:rsidRPr="000476A7">
        <w:rPr>
          <w:sz w:val="26"/>
          <w:szCs w:val="26"/>
        </w:rPr>
        <w:t xml:space="preserve">da </w:t>
      </w:r>
      <w:r w:rsidR="007F1067" w:rsidRPr="000476A7">
        <w:rPr>
          <w:sz w:val="26"/>
          <w:szCs w:val="26"/>
        </w:rPr>
        <w:t xml:space="preserve">Comissão de </w:t>
      </w:r>
      <w:r w:rsidR="0020787C" w:rsidRPr="000476A7">
        <w:rPr>
          <w:sz w:val="26"/>
          <w:szCs w:val="26"/>
        </w:rPr>
        <w:t>Serviços de Infraestrutura</w:t>
      </w:r>
      <w:r w:rsidR="004C63DF" w:rsidRPr="000476A7">
        <w:rPr>
          <w:sz w:val="26"/>
          <w:szCs w:val="26"/>
        </w:rPr>
        <w:t xml:space="preserve"> (C</w:t>
      </w:r>
      <w:r w:rsidR="0020787C" w:rsidRPr="000476A7">
        <w:rPr>
          <w:sz w:val="26"/>
          <w:szCs w:val="26"/>
        </w:rPr>
        <w:t>I</w:t>
      </w:r>
      <w:r w:rsidR="004C63DF" w:rsidRPr="000476A7">
        <w:rPr>
          <w:sz w:val="26"/>
          <w:szCs w:val="26"/>
        </w:rPr>
        <w:t>)</w:t>
      </w:r>
      <w:r w:rsidR="007F1067" w:rsidRPr="000476A7">
        <w:rPr>
          <w:sz w:val="26"/>
          <w:szCs w:val="26"/>
        </w:rPr>
        <w:t>.</w:t>
      </w:r>
    </w:p>
    <w:p w:rsidR="0057084D" w:rsidRPr="000476A7" w:rsidRDefault="0057084D" w:rsidP="00140205">
      <w:pPr>
        <w:pStyle w:val="09-Local-CLG"/>
        <w:spacing w:before="600" w:after="600"/>
        <w:ind w:firstLine="2517"/>
        <w:rPr>
          <w:sz w:val="26"/>
          <w:szCs w:val="26"/>
        </w:rPr>
      </w:pPr>
      <w:r w:rsidRPr="000476A7">
        <w:rPr>
          <w:sz w:val="26"/>
          <w:szCs w:val="26"/>
        </w:rPr>
        <w:t>Sala da Comissão,</w:t>
      </w:r>
    </w:p>
    <w:p w:rsidR="0057084D" w:rsidRPr="000476A7" w:rsidRDefault="0020787C" w:rsidP="0057084D">
      <w:pPr>
        <w:pStyle w:val="Corpodetexto"/>
        <w:spacing w:after="120"/>
        <w:ind w:firstLine="1418"/>
        <w:jc w:val="right"/>
        <w:rPr>
          <w:sz w:val="26"/>
          <w:szCs w:val="26"/>
        </w:rPr>
      </w:pPr>
      <w:r w:rsidRPr="000476A7">
        <w:rPr>
          <w:sz w:val="26"/>
          <w:szCs w:val="26"/>
        </w:rPr>
        <w:t>Senador WELLINGTON FAGUNDES</w:t>
      </w:r>
    </w:p>
    <w:p w:rsidR="002C70BD" w:rsidRDefault="00E76355" w:rsidP="00EF5882">
      <w:pPr>
        <w:pStyle w:val="Corpodetexto"/>
        <w:spacing w:after="120"/>
        <w:ind w:firstLine="1418"/>
        <w:jc w:val="right"/>
        <w:rPr>
          <w:sz w:val="26"/>
          <w:szCs w:val="26"/>
        </w:rPr>
      </w:pPr>
      <w:r w:rsidRPr="000476A7">
        <w:rPr>
          <w:sz w:val="26"/>
          <w:szCs w:val="26"/>
        </w:rPr>
        <w:t>Relator</w:t>
      </w:r>
    </w:p>
    <w:p w:rsidR="000C2155" w:rsidRDefault="000C2155" w:rsidP="00EF5882">
      <w:pPr>
        <w:pStyle w:val="Corpodetexto"/>
        <w:spacing w:after="120"/>
        <w:ind w:firstLine="1418"/>
        <w:jc w:val="right"/>
        <w:rPr>
          <w:sz w:val="26"/>
          <w:szCs w:val="26"/>
        </w:rPr>
      </w:pPr>
    </w:p>
    <w:p w:rsidR="000C2155" w:rsidRDefault="000C2155" w:rsidP="000C2155">
      <w:pPr>
        <w:pStyle w:val="01-TtuloEstudoNota-CLG"/>
      </w:pPr>
      <w:r>
        <w:br w:type="page"/>
        <w:t>ANEXO I</w:t>
      </w:r>
    </w:p>
    <w:p w:rsidR="000C2155" w:rsidRPr="000C2155" w:rsidRDefault="000C2155" w:rsidP="000C2155">
      <w:pPr>
        <w:keepNext/>
        <w:overflowPunct w:val="0"/>
        <w:autoSpaceDE w:val="0"/>
        <w:autoSpaceDN w:val="0"/>
        <w:adjustRightInd w:val="0"/>
        <w:spacing w:before="480" w:after="480"/>
        <w:jc w:val="center"/>
        <w:textAlignment w:val="baseline"/>
        <w:outlineLvl w:val="0"/>
        <w:rPr>
          <w:b/>
          <w:bCs/>
          <w:smallCaps/>
          <w:sz w:val="26"/>
          <w:szCs w:val="26"/>
        </w:rPr>
      </w:pPr>
      <w:bookmarkStart w:id="19" w:name="_Toc442974388"/>
      <w:r w:rsidRPr="000C2155">
        <w:rPr>
          <w:b/>
          <w:bCs/>
          <w:smallCaps/>
          <w:sz w:val="26"/>
          <w:szCs w:val="26"/>
        </w:rPr>
        <w:t>Audiência pública de 16 de novembro de 2015</w:t>
      </w:r>
      <w:bookmarkEnd w:id="19"/>
    </w:p>
    <w:p w:rsidR="000C2155" w:rsidRDefault="000C2155" w:rsidP="000C2155">
      <w:pPr>
        <w:shd w:val="clear" w:color="auto" w:fill="FFFFFF"/>
        <w:ind w:firstLine="1418"/>
        <w:jc w:val="both"/>
        <w:rPr>
          <w:sz w:val="26"/>
          <w:szCs w:val="26"/>
        </w:rPr>
      </w:pPr>
      <w:r>
        <w:rPr>
          <w:sz w:val="26"/>
          <w:szCs w:val="26"/>
        </w:rPr>
        <w:t>Participantes:</w:t>
      </w:r>
    </w:p>
    <w:p w:rsidR="000C2155" w:rsidRPr="000C2155" w:rsidRDefault="000C2155" w:rsidP="000C2155">
      <w:pPr>
        <w:shd w:val="clear" w:color="auto" w:fill="FFFFFF"/>
        <w:ind w:firstLine="1418"/>
        <w:jc w:val="both"/>
        <w:rPr>
          <w:sz w:val="26"/>
          <w:szCs w:val="26"/>
        </w:rPr>
      </w:pPr>
      <w:r w:rsidRPr="000C2155">
        <w:rPr>
          <w:sz w:val="26"/>
          <w:szCs w:val="26"/>
        </w:rPr>
        <w:tab/>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Helder Barbalho, Ministro de Estado Chefe da Secretaria de Portos da Presidência da República;</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Eliseu Padilha, Ministro de Estado Chefe da Secretaria de Aviação Civil da Presidência da República;</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Natalia Marcassa de Souza, Secretária Executiva do Ministério dos Transportes, que representa o Sr. Ministro dos Transportes neste evento;</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Franklin Rodrigues da Costa, Subprocurador-Geral da República; e</w:t>
      </w:r>
    </w:p>
    <w:p w:rsidR="000C2155" w:rsidRDefault="000C2155" w:rsidP="000C2155">
      <w:pPr>
        <w:numPr>
          <w:ilvl w:val="0"/>
          <w:numId w:val="5"/>
        </w:numPr>
        <w:shd w:val="clear" w:color="auto" w:fill="FFFFFF"/>
        <w:spacing w:line="357" w:lineRule="atLeast"/>
        <w:jc w:val="both"/>
        <w:rPr>
          <w:sz w:val="26"/>
          <w:szCs w:val="26"/>
        </w:rPr>
      </w:pPr>
      <w:r w:rsidRPr="000C2155">
        <w:rPr>
          <w:sz w:val="26"/>
          <w:szCs w:val="26"/>
        </w:rPr>
        <w:t>Thomaz Toledo, Diretor de Licenciamento Ambiental do Instituto Brasileiro do Meio Ambiente e dos Recursos Naturais Renováveis (Ibama).</w:t>
      </w:r>
    </w:p>
    <w:p w:rsidR="000C2155" w:rsidRPr="000C2155" w:rsidRDefault="000C2155" w:rsidP="000C2155">
      <w:pPr>
        <w:shd w:val="clear" w:color="auto" w:fill="FFFFFF"/>
        <w:spacing w:line="357" w:lineRule="atLeast"/>
        <w:jc w:val="both"/>
        <w:rPr>
          <w:sz w:val="26"/>
          <w:szCs w:val="26"/>
        </w:rPr>
      </w:pPr>
    </w:p>
    <w:p w:rsidR="000C2155" w:rsidRPr="000C2155" w:rsidRDefault="000C2155" w:rsidP="000C2155">
      <w:pPr>
        <w:spacing w:before="120" w:after="360"/>
        <w:ind w:firstLine="1418"/>
        <w:jc w:val="both"/>
        <w:rPr>
          <w:i/>
          <w:sz w:val="26"/>
          <w:szCs w:val="26"/>
          <w:shd w:val="clear" w:color="auto" w:fill="FFFFFF"/>
        </w:rPr>
      </w:pPr>
      <w:r w:rsidRPr="000C2155">
        <w:rPr>
          <w:sz w:val="26"/>
          <w:szCs w:val="26"/>
        </w:rPr>
        <w:t xml:space="preserve">Iniciando a audiência, o Sr. Helder Barbalho, representante da Secretaria de Portos, fez uma apresentação sobre o Plano Nacional de Logística Portuária, que tem previsão de lançamento ainda em 2015. Lembrou que 95% do volume do comércio nacional passam pelos portos marítimos brasileiros, e que entre 2003 e 2014 houve um aumento de 70% na movimentação de carga. Relembrou os momentos estratégicos para o setor: </w:t>
      </w:r>
      <w:r w:rsidRPr="000C2155">
        <w:rPr>
          <w:i/>
          <w:iCs/>
          <w:sz w:val="26"/>
          <w:szCs w:val="26"/>
        </w:rPr>
        <w:t>[...] que estabelecem o novo marco regulatório: a Lei nº 12.815, de 2013, que faz com que a SEP, a Secretaria de Portos, passe a ser o poder concedente, com centralização do planejamento setorial e com a responsabilidade de elaborar e submeter à SEP o Plano de Desenvolvimento e Zoneamento dos portos; o Decreto nº 8.033, da Presidência da República, estabelecendo o</w:t>
      </w:r>
      <w:r w:rsidRPr="000C2155">
        <w:rPr>
          <w:i/>
          <w:sz w:val="26"/>
          <w:szCs w:val="26"/>
          <w:shd w:val="clear" w:color="auto" w:fill="FFFFFF"/>
        </w:rPr>
        <w:t xml:space="preserve"> </w:t>
      </w:r>
      <w:r w:rsidRPr="000C2155">
        <w:rPr>
          <w:i/>
          <w:iCs/>
          <w:sz w:val="26"/>
          <w:szCs w:val="26"/>
        </w:rPr>
        <w:t>Plano Geral de Outorgas e também disciplinando o Plano de Desenvolvimento e Zoneamento dos portos; e a Portaria da SEP estabelecendo o PNLP, [...] os planos mestres, os PDZs e o PGO</w:t>
      </w:r>
      <w:r w:rsidRPr="000C2155">
        <w:rPr>
          <w:i/>
          <w:sz w:val="26"/>
          <w:szCs w:val="26"/>
          <w:shd w:val="clear" w:color="auto" w:fill="FFFFFF"/>
        </w:rPr>
        <w:t xml:space="preserve">. </w:t>
      </w:r>
    </w:p>
    <w:p w:rsidR="000C2155" w:rsidRPr="000C2155" w:rsidRDefault="000C2155" w:rsidP="000C2155">
      <w:pPr>
        <w:spacing w:before="120" w:after="360"/>
        <w:ind w:firstLine="1418"/>
        <w:jc w:val="both"/>
        <w:rPr>
          <w:sz w:val="26"/>
          <w:szCs w:val="26"/>
          <w:shd w:val="clear" w:color="auto" w:fill="FFFFFF"/>
        </w:rPr>
      </w:pPr>
      <w:r w:rsidRPr="000C2155">
        <w:rPr>
          <w:sz w:val="26"/>
          <w:szCs w:val="26"/>
          <w:shd w:val="clear" w:color="auto" w:fill="FFFFFF"/>
        </w:rPr>
        <w:t xml:space="preserve">Sobre o Plano Nacional de Logística Portuária: </w:t>
      </w:r>
      <w:r w:rsidRPr="000C2155">
        <w:rPr>
          <w:i/>
          <w:iCs/>
          <w:sz w:val="26"/>
          <w:szCs w:val="26"/>
          <w:shd w:val="clear" w:color="auto" w:fill="FFFFFF"/>
        </w:rPr>
        <w:t>O Plano Nacional de Logística Portuária tem, como principal instrumento, o planejamento estratégico; em seguida, os planos mestres, que estabelecem o planejamento voltado a cada unidades portuária, detalhando cada cluster existente; o Plano de Desenvolvimento e Zoneamento, que planeja a operacionalidade da administração portuária; e o Plano Geral de Outorgas, que envolve todo o planejamento de outorgas dos portos públicos, como também dos terminais de uso privado. [...] Nós tivemos o primeiro ciclo do PNLP, em 2012, que tinha essas ações: ações emergenciais para o desenvolvimento dos portos brasileiros, diagnóstico, projeção de demanda, áreas de influência, capacidade portuária, carregamento de malha, tendências internacionais e análises estratégicas, modelo de exploração dos portos, portfólio de projetos, o PNLP e o sumário executivo do PNLP.</w:t>
      </w:r>
      <w:r w:rsidRPr="000C2155">
        <w:rPr>
          <w:sz w:val="26"/>
          <w:szCs w:val="26"/>
          <w:shd w:val="clear" w:color="auto" w:fill="FFFFFF"/>
        </w:rPr>
        <w:t xml:space="preserve"> </w:t>
      </w:r>
    </w:p>
    <w:p w:rsidR="000C2155" w:rsidRPr="000C2155" w:rsidRDefault="000C2155" w:rsidP="000C2155">
      <w:pPr>
        <w:shd w:val="clear" w:color="auto" w:fill="FFFFFF"/>
        <w:spacing w:before="120" w:after="360"/>
        <w:ind w:firstLine="1418"/>
        <w:jc w:val="both"/>
        <w:rPr>
          <w:sz w:val="26"/>
          <w:szCs w:val="26"/>
        </w:rPr>
      </w:pPr>
      <w:r w:rsidRPr="000C2155">
        <w:rPr>
          <w:sz w:val="26"/>
          <w:szCs w:val="26"/>
          <w:shd w:val="clear" w:color="auto" w:fill="FFFFFF"/>
        </w:rPr>
        <w:t xml:space="preserve">Enumerou os investimentos esperados para o setor: </w:t>
      </w:r>
      <w:r w:rsidRPr="000C2155">
        <w:rPr>
          <w:i/>
          <w:sz w:val="26"/>
          <w:szCs w:val="26"/>
          <w:shd w:val="clear" w:color="auto" w:fill="FFFFFF"/>
        </w:rPr>
        <w:t>inicialmente, os investimentos privados. São os novos TUPs, para os quais estimamos um investimento da ordem de R$20,68 bilhões; novos arrendamentos, R$16,26 bilhões, sendo R$11,3 de </w:t>
      </w:r>
      <w:r w:rsidRPr="000C2155">
        <w:rPr>
          <w:i/>
          <w:iCs/>
          <w:sz w:val="26"/>
          <w:szCs w:val="26"/>
          <w:shd w:val="clear" w:color="auto" w:fill="FFFFFF"/>
        </w:rPr>
        <w:t>greenfield</w:t>
      </w:r>
      <w:r w:rsidRPr="000C2155">
        <w:rPr>
          <w:i/>
          <w:sz w:val="26"/>
          <w:szCs w:val="26"/>
          <w:shd w:val="clear" w:color="auto" w:fill="FFFFFF"/>
        </w:rPr>
        <w:t>, áreas novas; R$4,9 bilhões de </w:t>
      </w:r>
      <w:r w:rsidRPr="000C2155">
        <w:rPr>
          <w:i/>
          <w:iCs/>
          <w:sz w:val="26"/>
          <w:szCs w:val="26"/>
          <w:shd w:val="clear" w:color="auto" w:fill="FFFFFF"/>
        </w:rPr>
        <w:t>brownfield</w:t>
      </w:r>
      <w:r w:rsidRPr="000C2155">
        <w:rPr>
          <w:i/>
          <w:sz w:val="26"/>
          <w:szCs w:val="26"/>
          <w:shd w:val="clear" w:color="auto" w:fill="FFFFFF"/>
        </w:rPr>
        <w:t xml:space="preserve">, áreas já utilizadas. [...] </w:t>
      </w:r>
      <w:r w:rsidRPr="000C2155">
        <w:rPr>
          <w:i/>
          <w:sz w:val="26"/>
          <w:szCs w:val="26"/>
        </w:rPr>
        <w:t>E as renovações contratuais, que são as prorrogações antecipadas de arrendamentos vigentes, para o que a nossa estimativa é de R$8,14 bilhões. Investimentos públicos em dragagem: R$3,96 bilhões (OGU). Terminais privados: Nós temos terminais privados já autorizados, no total de 47, cujos processos já foram autorizados. Para terminais privados, em valor estimado de movimentação, prevê-se um investimento de R$13,93 bilhões. Volto a dizer: terminais (TUPs) já autorizados.[...] Eles vão agregar aos números atuais de oferta do setor 183,5 milhões de toneladas. Em análise, nós temos algo da ordem de R$6,75 bilhões em termos de estimativa de investimento, de novos TUPs, que representarão um ganho de operação de 92,7 milhões de toneladas</w:t>
      </w:r>
      <w:r w:rsidRPr="000C2155">
        <w:rPr>
          <w:sz w:val="26"/>
          <w:szCs w:val="26"/>
        </w:rPr>
        <w:t>.</w:t>
      </w:r>
    </w:p>
    <w:p w:rsidR="000C2155" w:rsidRPr="000C2155" w:rsidRDefault="000C2155" w:rsidP="000C2155">
      <w:pPr>
        <w:shd w:val="clear" w:color="auto" w:fill="FFFFFF"/>
        <w:spacing w:before="120" w:after="360"/>
        <w:ind w:firstLine="1418"/>
        <w:jc w:val="both"/>
        <w:rPr>
          <w:sz w:val="26"/>
          <w:szCs w:val="26"/>
          <w:shd w:val="clear" w:color="auto" w:fill="FFFFFF"/>
        </w:rPr>
      </w:pPr>
      <w:r w:rsidRPr="000C2155">
        <w:rPr>
          <w:sz w:val="26"/>
          <w:szCs w:val="26"/>
        </w:rPr>
        <w:t>Acrescentou ainda dados relativos a renovações contratuais:</w:t>
      </w:r>
      <w:r w:rsidRPr="000C2155">
        <w:rPr>
          <w:i/>
          <w:sz w:val="26"/>
          <w:szCs w:val="26"/>
        </w:rPr>
        <w:t xml:space="preserve"> </w:t>
      </w:r>
      <w:r w:rsidRPr="000C2155">
        <w:rPr>
          <w:i/>
          <w:sz w:val="26"/>
          <w:szCs w:val="26"/>
          <w:shd w:val="clear" w:color="auto" w:fill="FFFFFF"/>
        </w:rPr>
        <w:t>são os processos que estão em andamento e para os quais está sendo feita a antecipação da prorrogação desse andamento atrelado a propostas de investimento. São 52 processos que estão em andamento na SEP: 25 relativos a prorrogações antecipadas, seis já foram autorizados, 19 em análise. A estimativa é de R$7,1 bilhões. Temos outros 27, que são diversos, num total de R$8,14 bilhões que estão nessas regiões com os contratos correspondentes</w:t>
      </w:r>
      <w:r w:rsidRPr="000C2155">
        <w:rPr>
          <w:sz w:val="26"/>
          <w:szCs w:val="26"/>
          <w:shd w:val="clear" w:color="auto" w:fill="FFFFFF"/>
        </w:rPr>
        <w:t>.</w:t>
      </w:r>
    </w:p>
    <w:p w:rsidR="000C2155" w:rsidRPr="000C2155" w:rsidRDefault="000C2155" w:rsidP="000C2155">
      <w:pPr>
        <w:spacing w:before="120" w:after="360"/>
        <w:ind w:firstLine="1418"/>
        <w:jc w:val="both"/>
        <w:rPr>
          <w:i/>
          <w:iCs/>
          <w:sz w:val="26"/>
          <w:szCs w:val="26"/>
          <w:shd w:val="clear" w:color="auto" w:fill="FFFFFF"/>
        </w:rPr>
      </w:pPr>
      <w:r w:rsidRPr="000C2155">
        <w:rPr>
          <w:sz w:val="26"/>
          <w:szCs w:val="26"/>
          <w:shd w:val="clear" w:color="auto" w:fill="FFFFFF"/>
        </w:rPr>
        <w:t xml:space="preserve">Em sua apresentação o Ministro Eliseu Padilha apresentou o que considerou ser um caso de sucesso. </w:t>
      </w:r>
      <w:r w:rsidRPr="000C2155">
        <w:rPr>
          <w:i/>
          <w:iCs/>
          <w:sz w:val="26"/>
          <w:szCs w:val="26"/>
          <w:shd w:val="clear" w:color="auto" w:fill="FFFFFF"/>
        </w:rPr>
        <w:t>Quando cheguei ao Ministério, recebi a visita do ex-Senador, então diretor do bando do Brasil, Osmar Dias. E ele me dizia: Padilha, esse programa – o programa de aeroportos regionais – só tem um problema: o licenciamento ambiental. [...] Nós lançamos em 2012, estamos em 2015 e nós não conseguimos andar, porque o licenciamento ambiental tem sido o nosso grande óbice. [...] Conseguimos construir, a partir de um trabalho conjunto, especialmente a quatro mãos, com a mão mais pesada da Ministra Izabella, que tem o maior mérito nisso, uma resolução no Conama, a Resolução nº 470, que veio para disciplinar o licenciamento especificamente para os aeroportos regionais. Ela foi publicada em 28 de agosto, agora, de 2015, e trouxe normas que são compatíveis com a celeridade com que temos que trabalhar nesse programa e também com a preservação dos interesses efetivos da União, que foram definidos nessa Resolução, porque ela é uma resolução do Conama, Conselho Nacional do Meio Ambiente. Ele tem, sob o ponto de vista da hierarquia, o nível máximo no que se refere ao regramento para tal. [...] Se obedecer à resolução nacional, por certo o licenciamento vai andar muito mais rapidamente. Estou falando em muito mais rapidamente, estou falando em 180 dias, que foi o prazo que acabou sendo consagrado pelo Conama para esse licenciamento. Pensem comigo aqui: quem tem afeição ao tema, 180 dias nesse métier é altíssima velocidade. Conseguimos chegar a um denominador comum muito positivo.</w:t>
      </w:r>
    </w:p>
    <w:p w:rsidR="000C2155" w:rsidRPr="000C2155" w:rsidRDefault="000C2155" w:rsidP="000C2155">
      <w:pPr>
        <w:shd w:val="clear" w:color="auto" w:fill="FFFFFF"/>
        <w:spacing w:before="120" w:after="360"/>
        <w:ind w:firstLine="1418"/>
        <w:jc w:val="both"/>
        <w:rPr>
          <w:i/>
          <w:sz w:val="26"/>
          <w:szCs w:val="26"/>
        </w:rPr>
      </w:pPr>
      <w:r w:rsidRPr="000C2155">
        <w:rPr>
          <w:sz w:val="26"/>
          <w:szCs w:val="26"/>
          <w:shd w:val="clear" w:color="auto" w:fill="FFFFFF"/>
        </w:rPr>
        <w:t>Sobre as obras em andamento</w:t>
      </w:r>
      <w:r w:rsidRPr="000C2155">
        <w:rPr>
          <w:i/>
          <w:sz w:val="26"/>
          <w:szCs w:val="26"/>
          <w:shd w:val="clear" w:color="auto" w:fill="FFFFFF"/>
        </w:rPr>
        <w:t>: j</w:t>
      </w:r>
      <w:r w:rsidRPr="000C2155">
        <w:rPr>
          <w:i/>
          <w:sz w:val="26"/>
          <w:szCs w:val="26"/>
        </w:rPr>
        <w:t>á recebemos as PMIs, propostas para manifestação de interesse, de concessão de quatro aeroportos. Vamos lembrar que a Presidenta Dilma, em seu discurso de posse, disse: "temos que, nesse governo, incrementar, aprofundar a nossa parceria com o setor privado; precisamos buscar investimentos". E a preocupação da Casa quando nos convoca, quando nos convida para aqui estarmos é saber se, afinal, o investimento em infraestrutura está acontecendo. A Presidenta disse que tínhamos que incrementar, aprofundar a nossa parceria com o setor privado na infraestrutura, especialmente no campo da logística.</w:t>
      </w:r>
    </w:p>
    <w:p w:rsidR="000C2155" w:rsidRPr="000C2155" w:rsidRDefault="000C2155" w:rsidP="000C2155">
      <w:pPr>
        <w:shd w:val="clear" w:color="auto" w:fill="FFFFFF"/>
        <w:spacing w:before="120" w:after="360"/>
        <w:ind w:firstLine="1418"/>
        <w:jc w:val="both"/>
        <w:rPr>
          <w:sz w:val="26"/>
          <w:szCs w:val="26"/>
        </w:rPr>
      </w:pPr>
      <w:r w:rsidRPr="000C2155">
        <w:rPr>
          <w:i/>
          <w:sz w:val="26"/>
          <w:szCs w:val="26"/>
        </w:rPr>
        <w:t>Pois bem, temos quatro aeroportos que vão à concessão, cujos processos estão em andamento neste momento. Estamos definindo apenas de quanto será a participação da Infraero; estamos definindo quanto vamos permitir que o operador aeroportuário tenha, como mínimo de participação no consórcio que vai operar os aeroportos. Podemos mandar para o Tribunal de Contas uma minuta do edital e devermos estar, em maio ou junho ao ano que vem, conhecendo os novos concessionários dos aeroportos de Porto Alegre, Florianópolis, Salvador e Fortaleza. Com isso, vamos chegar a dez aeroportos – seis já temos – sob concessão, no nosso programa de investimento em logística</w:t>
      </w:r>
      <w:r w:rsidRPr="000C2155">
        <w:rPr>
          <w:sz w:val="26"/>
          <w:szCs w:val="26"/>
        </w:rPr>
        <w:t>.</w:t>
      </w:r>
    </w:p>
    <w:p w:rsidR="000C2155" w:rsidRPr="000C2155" w:rsidRDefault="000C2155" w:rsidP="000C2155">
      <w:pPr>
        <w:shd w:val="clear" w:color="auto" w:fill="FFFFFF"/>
        <w:spacing w:before="120" w:after="360"/>
        <w:ind w:firstLine="1418"/>
        <w:jc w:val="both"/>
        <w:rPr>
          <w:i/>
          <w:sz w:val="26"/>
          <w:szCs w:val="26"/>
          <w:shd w:val="clear" w:color="auto" w:fill="FFFFFF"/>
        </w:rPr>
      </w:pPr>
      <w:r w:rsidRPr="000C2155">
        <w:rPr>
          <w:sz w:val="26"/>
          <w:szCs w:val="26"/>
        </w:rPr>
        <w:t xml:space="preserve">Em seguida a Secretária Executiva do Ministério dos Transportes fez a sua apresentação. </w:t>
      </w:r>
      <w:r w:rsidRPr="000C2155">
        <w:rPr>
          <w:i/>
          <w:sz w:val="26"/>
          <w:szCs w:val="26"/>
        </w:rPr>
        <w:t xml:space="preserve">Apresentou o </w:t>
      </w:r>
      <w:r w:rsidRPr="000C2155">
        <w:rPr>
          <w:i/>
          <w:sz w:val="26"/>
          <w:szCs w:val="26"/>
          <w:shd w:val="clear" w:color="auto" w:fill="FFFFFF"/>
        </w:rPr>
        <w:t xml:space="preserve">Plano Nacional de Logística Integrado, que, na verdade, substitui o Plano Nacional de Transportes que, antes, o Ministério tinha. Hoje, trabalhamos apenas com o Plano de Logística Integrado, que ampliou um pouco o horizonte do Plano Nacional de Transportes e trouxe também um pouco do que é previsto tanto no setor portuário quanto no aeroportuário. </w:t>
      </w:r>
    </w:p>
    <w:p w:rsidR="000C2155" w:rsidRPr="000C2155" w:rsidRDefault="000C2155" w:rsidP="000C2155">
      <w:pPr>
        <w:shd w:val="clear" w:color="auto" w:fill="FFFFFF"/>
        <w:spacing w:before="120" w:after="360"/>
        <w:ind w:firstLine="1418"/>
        <w:jc w:val="both"/>
        <w:rPr>
          <w:i/>
          <w:iCs/>
          <w:sz w:val="26"/>
          <w:szCs w:val="26"/>
        </w:rPr>
      </w:pPr>
      <w:r w:rsidRPr="000C2155">
        <w:rPr>
          <w:i/>
          <w:iCs/>
          <w:sz w:val="26"/>
          <w:szCs w:val="26"/>
        </w:rPr>
        <w:t>O Plano Nacional de Logística Integrada foi desenvolvido pela EPL, que é a empresa de planejamento e logística vinculado ao Ministério dos Transportes, que foi criada em 2012 e tem, com um dos seus principais objetivos, o desenvolvimento e manutenção dessas informações. Muitos dos senhores podem, muitas vezes, ter sido entrevistados em aeroportos, frequentam, invariavelmente, rodoviárias também. Fizemos, portanto, uma pesquisa ampla, com rede de caminhoneiros, portos, aeroportos, rodoviárias, justamente para conhecer as carências e deficiências dessa malha de transporte no Brasil. O objetivo é, então, identificar as necessidades e propor as oportunidades de investimento a curto, médio e longo prazo. Então, quando falamos de curto, médio e longo prazo, falamos de planejamento para o setor de transportes de 5 a 35 anos. Hoje, o Ministério dos Transportes tem como enxergar um planejamento para o setor de transporte de até 35 anos, visando promover ao País uma logística eficiente e competitiva, com associação entre infraestrutura e serviços numa visão pública, privada e público-privada. [...] A Fase 1 do plano nacional de investimento está toda concluída, e é a fase mais pesada. Trata-se da modelagem e captação de todas essas informações além da estruturação desse banco de dados. Com esses resultados preliminares, passamos para a Fase 2, que é a fase em que nos encontramos agora, a fase do diálogo. Estamos com um diálogo dentro do setor de transportes para calibrar essas informações. [...] Com a conclusão do PNLI, que é a última fase em que estamos, já que a nossa provisão é de concluirmos agora, no ano de 2016, teremos um instrumento que vai ser válido sempre para o Ministério dos Transportes. Ele vai ser calibrado e retroalimentado sempre com pesquisas para que possamos ter o planejamento do sistema transporte sempre o horizonte do curto, médio e longo prazo. O Plano Nacional de Logística Integrada já foi usado, apesar de não estar totalmente pronto, para o planejamento do PIL, que foi lançado em 2015. Então, as informações das que rodovias e ferrovias em que o Ministério dos Transportes deveria focar mais, partiram do Plano Nacional de Logística Integrada.</w:t>
      </w:r>
    </w:p>
    <w:p w:rsidR="000C2155" w:rsidRPr="000C2155" w:rsidRDefault="000C2155" w:rsidP="000C2155">
      <w:pPr>
        <w:shd w:val="clear" w:color="auto" w:fill="FFFFFF"/>
        <w:spacing w:before="120" w:after="360"/>
        <w:ind w:firstLine="1418"/>
        <w:jc w:val="both"/>
        <w:rPr>
          <w:i/>
          <w:sz w:val="26"/>
          <w:szCs w:val="26"/>
          <w:shd w:val="clear" w:color="auto" w:fill="FFFFFF"/>
        </w:rPr>
      </w:pPr>
      <w:r w:rsidRPr="000C2155">
        <w:rPr>
          <w:sz w:val="26"/>
          <w:szCs w:val="26"/>
        </w:rPr>
        <w:t>A Sra. Natália Marcassa prosseguiu apresentando números de leilões bem sucedidos de rodovias, para em seguida apresentar os problemas identificados nas questões de ferrovias</w:t>
      </w:r>
      <w:r w:rsidRPr="000C2155">
        <w:rPr>
          <w:i/>
          <w:sz w:val="26"/>
          <w:szCs w:val="26"/>
        </w:rPr>
        <w:t>. Qual foi o nosso problema? O nosso problema foi ferrovias. O PIL 1 lançou a proposição de 10 mil km a serem concedidos de ferrovias, que totalizavam um investimento de R$91 bilhões. Esses foram os trechos de ferrovia que constaram Plano de Investimento em Logística de 2012. Infelizmente, não conseguimos contratar nenhum desses lotes que foram lançados em concessão. O que verificamos tanto para os leilões de rodovias que não deram certo quanto para ferrovias que não conseguimos alavancar e contratar? Necessidade, principalmente em ferrovia, de maior detalhamento dos estudos para investigação correta dos investimentos, aquilo que era Capex e Opex, para minimização dos riscos do setor privado. Então, lançamos projetos em nível de estudo de viabilidade, que é um dado que, talvez, seja seguro para rodovia, porque a rodovia já está implantada, então, geralmente, o que é necessário de investimento é a ampliação de capacidade. A ferrovia é o que chamamos de </w:t>
      </w:r>
      <w:r w:rsidRPr="000C2155">
        <w:rPr>
          <w:i/>
          <w:iCs/>
          <w:sz w:val="26"/>
          <w:szCs w:val="26"/>
        </w:rPr>
        <w:t>green field</w:t>
      </w:r>
      <w:r w:rsidRPr="000C2155">
        <w:rPr>
          <w:i/>
          <w:sz w:val="26"/>
          <w:szCs w:val="26"/>
        </w:rPr>
        <w:t>, um projeto novo que inicia do zero. Sendo assim, ela tem que ser implantada, tem um risco, uma percepção de risco, para o investidor muito maior</w:t>
      </w:r>
      <w:r w:rsidRPr="000C2155">
        <w:rPr>
          <w:sz w:val="26"/>
          <w:szCs w:val="26"/>
        </w:rPr>
        <w:t xml:space="preserve">. </w:t>
      </w:r>
      <w:r w:rsidRPr="000C2155">
        <w:rPr>
          <w:i/>
          <w:sz w:val="26"/>
          <w:szCs w:val="26"/>
        </w:rPr>
        <w:t xml:space="preserve">Então, o detalhamento do projeto é muito importante. </w:t>
      </w:r>
      <w:r w:rsidRPr="000C2155">
        <w:rPr>
          <w:i/>
          <w:sz w:val="26"/>
          <w:szCs w:val="26"/>
          <w:shd w:val="clear" w:color="auto" w:fill="FFFFFF"/>
        </w:rPr>
        <w:t>Esse baixo detalhamento gerou uma percepção, uma aversão ao risco muito grande por parte desses investidores. Outro ponto: necessidade clara da garantia da demanda. Se os senhores lembram, foi discutido também algumas vezes, nesta Casa, que a garantia de demanda das ferrovias se daria por meio da Valec, que garantiria essa demanda. E foi muito discutido até que ponto realmente o Governo teria capacidade de garantir como seria dada essa demanda. Então, se vai haver um projeto que terá garantia de demanda pelo setor público, essa regra tem que estar muito clara. Foi o que percebemos.</w:t>
      </w:r>
    </w:p>
    <w:p w:rsidR="000C2155" w:rsidRPr="000C2155" w:rsidRDefault="000C2155" w:rsidP="000C2155">
      <w:pPr>
        <w:shd w:val="clear" w:color="auto" w:fill="FFFFFF"/>
        <w:spacing w:before="120" w:after="360"/>
        <w:ind w:firstLine="1418"/>
        <w:jc w:val="both"/>
        <w:rPr>
          <w:sz w:val="26"/>
          <w:szCs w:val="26"/>
        </w:rPr>
      </w:pPr>
      <w:r w:rsidRPr="000C2155">
        <w:rPr>
          <w:sz w:val="26"/>
          <w:szCs w:val="26"/>
          <w:shd w:val="clear" w:color="auto" w:fill="FFFFFF"/>
        </w:rPr>
        <w:t>Sobre o licenciamento ambiental, lembrou ainda:</w:t>
      </w:r>
      <w:r w:rsidRPr="000C2155">
        <w:rPr>
          <w:i/>
          <w:sz w:val="26"/>
          <w:szCs w:val="26"/>
          <w:shd w:val="clear" w:color="auto" w:fill="FFFFFF"/>
        </w:rPr>
        <w:t xml:space="preserve"> </w:t>
      </w:r>
      <w:r w:rsidRPr="000C2155">
        <w:rPr>
          <w:i/>
          <w:sz w:val="26"/>
          <w:szCs w:val="26"/>
        </w:rPr>
        <w:t>o prazo para o licenciamento ambiental geralmente, até para ampliação de capacidade de uma rodovia, é de 36 meses. Então, verificamos que, no início de uma concessão, demorar 36 meses para a retirada de uma licença era uma percepção de risco muito grande para o investidor. A exemplo do que o Ministro Eliseu Padilha trouxe, o Ministério dos Transportes e o Ministério do Meio Ambiente, em conjunto, lançaram uma portaria que trouxe um </w:t>
      </w:r>
      <w:r w:rsidRPr="000C2155">
        <w:rPr>
          <w:i/>
          <w:iCs/>
          <w:sz w:val="26"/>
          <w:szCs w:val="26"/>
        </w:rPr>
        <w:t>fast track </w:t>
      </w:r>
      <w:r w:rsidRPr="000C2155">
        <w:rPr>
          <w:i/>
          <w:sz w:val="26"/>
          <w:szCs w:val="26"/>
        </w:rPr>
        <w:t>para o processo de licenciamento, principalmente em rodovias que já estão implantadas e onde há maior antropização. O Ministério do Meio Ambiente elencou quais eram as características em que era possível avançar sem o licenciamento principalmente se a rodovia já tivesse essa característica de maior antropização. Assim, o processo poderia ter uma quantidade de quilômetros que permitiria ao investidor fazer alguma duplicação para poder iniciar a cobrança de pedágio sem passar pelo rito do processo ambiental integral nesse primeiro momento, sendo que, depois, ele teria todo o tempo adequado para fazer esses estudos, que são muito sérios e que realmente demandam tempo</w:t>
      </w:r>
      <w:r w:rsidRPr="000C2155">
        <w:rPr>
          <w:sz w:val="26"/>
          <w:szCs w:val="26"/>
        </w:rPr>
        <w:t>.</w:t>
      </w:r>
    </w:p>
    <w:p w:rsidR="000C2155" w:rsidRPr="000C2155" w:rsidRDefault="000C2155" w:rsidP="000C2155">
      <w:pPr>
        <w:shd w:val="clear" w:color="auto" w:fill="FFFFFF"/>
        <w:spacing w:before="120" w:after="360"/>
        <w:ind w:firstLine="1418"/>
        <w:jc w:val="both"/>
        <w:rPr>
          <w:i/>
          <w:sz w:val="26"/>
          <w:szCs w:val="26"/>
        </w:rPr>
      </w:pPr>
      <w:r w:rsidRPr="000C2155">
        <w:rPr>
          <w:sz w:val="26"/>
          <w:szCs w:val="26"/>
        </w:rPr>
        <w:t xml:space="preserve">Abordou a questão do Financiamento: </w:t>
      </w:r>
      <w:r w:rsidRPr="000C2155">
        <w:rPr>
          <w:i/>
          <w:sz w:val="26"/>
          <w:szCs w:val="26"/>
        </w:rPr>
        <w:t xml:space="preserve">o financiamento é algo muito importante em infraestrutura porque se trata de investimentos pesados, concentrados nos cinco primeiros anos de concessão, em que geralmente o investidor não tem o retorno, porque começa a cobrar pedágio, só de 10%, depois, ou seja, só depois de 18 meses de contrato. E o </w:t>
      </w:r>
      <w:r w:rsidRPr="000C2155">
        <w:rPr>
          <w:i/>
          <w:iCs/>
          <w:sz w:val="26"/>
          <w:szCs w:val="26"/>
        </w:rPr>
        <w:t>payback</w:t>
      </w:r>
      <w:r w:rsidRPr="000C2155">
        <w:rPr>
          <w:i/>
          <w:sz w:val="26"/>
          <w:szCs w:val="26"/>
        </w:rPr>
        <w:t> desses contratos de dará 10, 12, 15 anos, às vezes. Então, financiamento é um ponto chave em projetos de infraestrutura. O BNDES entrou com condições atrativas de financiamento para o PIL 1. O que estamos verificando para o PIL 2 é que houve uma baixa na disponibilidade de financiamento do BNDES para, que traz também alguma incerteza para o processo. Até o Ministro Antonio Carlos estava muito preocupado com essa questão e solicitou ao BNDES que fizesse um </w:t>
      </w:r>
      <w:r w:rsidRPr="000C2155">
        <w:rPr>
          <w:i/>
          <w:iCs/>
          <w:sz w:val="26"/>
          <w:szCs w:val="26"/>
        </w:rPr>
        <w:t>workshop</w:t>
      </w:r>
      <w:r w:rsidRPr="000C2155">
        <w:rPr>
          <w:i/>
          <w:sz w:val="26"/>
          <w:szCs w:val="26"/>
        </w:rPr>
        <w:t> com os investidores, explicando a disponibilidade de recursos, quais são as regras para que isso fique claro para o investidor.</w:t>
      </w:r>
    </w:p>
    <w:p w:rsidR="000C2155" w:rsidRPr="000C2155" w:rsidRDefault="000C2155" w:rsidP="000C2155">
      <w:pPr>
        <w:shd w:val="clear" w:color="auto" w:fill="FFFFFF"/>
        <w:spacing w:before="120" w:after="360"/>
        <w:ind w:firstLine="1418"/>
        <w:jc w:val="both"/>
        <w:rPr>
          <w:i/>
          <w:sz w:val="26"/>
          <w:szCs w:val="26"/>
        </w:rPr>
      </w:pPr>
      <w:r w:rsidRPr="000C2155">
        <w:rPr>
          <w:i/>
          <w:sz w:val="26"/>
          <w:szCs w:val="26"/>
        </w:rPr>
        <w:t>Outro ponto que sempre aparece nas discussões, para viabilizar os investimentos, é o entendimento do projeto com um todo. E aí entra a Secretaria de Portos, a Secretaria de Aviação Civil. O investidor quer saber: "se vamos investir em ferrovia, ela vai ligar em que porto? Escoa como? Qual é a minha concorrência em rodovia?" Para que o investidor entenda o projeto como um todo, é importante que ele esteja casado do ponto de vista ferrovia, rodovia e portos.</w:t>
      </w:r>
    </w:p>
    <w:p w:rsidR="000C2155" w:rsidRPr="000C2155" w:rsidRDefault="000C2155" w:rsidP="000C2155">
      <w:pPr>
        <w:shd w:val="clear" w:color="auto" w:fill="FFFFFF"/>
        <w:spacing w:before="120" w:after="360"/>
        <w:ind w:firstLine="1418"/>
        <w:jc w:val="both"/>
        <w:rPr>
          <w:i/>
          <w:iCs/>
          <w:sz w:val="26"/>
          <w:szCs w:val="26"/>
        </w:rPr>
      </w:pPr>
      <w:r w:rsidRPr="000C2155">
        <w:rPr>
          <w:i/>
          <w:iCs/>
          <w:sz w:val="26"/>
          <w:szCs w:val="26"/>
        </w:rPr>
        <w:t>A desapropriação é sempre uma questão para os investidores, principalmente investidores estrangeiros, porque o processo de desapropriação, no Brasil, pode levar algum tempo, às vezes, envolve o Poder Judiciário, indenização e realocação dessas pessoas. Então, é sempre um fator de risco também. Observando isso e aprendendo um pouco com esse fator que foi importante no Plano de Investimento em Logística, nos contratos atuais, o setor público está assumindo, pelo menos, o risco de custeio dessas desapropriações, porque é um risco que não temos como precisar exatamente na hora do leilão. Só depois de um laudo pericial assinado é que sabemos quanto vai custar aquela desapropriação. Isso também diminui um pouco o fator de risco e percepção do investidor.</w:t>
      </w:r>
    </w:p>
    <w:p w:rsidR="000C2155" w:rsidRPr="000C2155" w:rsidRDefault="000C2155" w:rsidP="000C2155">
      <w:pPr>
        <w:spacing w:before="120" w:after="360"/>
        <w:ind w:firstLine="1418"/>
        <w:jc w:val="both"/>
        <w:rPr>
          <w:iCs/>
          <w:sz w:val="26"/>
          <w:szCs w:val="26"/>
        </w:rPr>
      </w:pPr>
      <w:r w:rsidRPr="000C2155">
        <w:rPr>
          <w:iCs/>
          <w:sz w:val="26"/>
          <w:szCs w:val="26"/>
        </w:rPr>
        <w:t>A apresentação foi concluída com dados de expectativas para o PIL2, com licitações a ocorrer durante o ano de 2016.</w:t>
      </w:r>
    </w:p>
    <w:p w:rsidR="000C2155" w:rsidRPr="000C2155" w:rsidRDefault="000C2155" w:rsidP="000C2155">
      <w:pPr>
        <w:spacing w:before="120" w:after="360"/>
        <w:ind w:firstLine="1418"/>
        <w:jc w:val="both"/>
        <w:rPr>
          <w:i/>
          <w:iCs/>
          <w:sz w:val="26"/>
          <w:szCs w:val="26"/>
        </w:rPr>
      </w:pPr>
      <w:r w:rsidRPr="000C2155">
        <w:rPr>
          <w:iCs/>
          <w:sz w:val="26"/>
          <w:szCs w:val="26"/>
        </w:rPr>
        <w:t>Em seguida o Sr. Thomaz Toledo apresentou a visão do IBAMA.</w:t>
      </w:r>
      <w:r w:rsidRPr="000C2155">
        <w:rPr>
          <w:i/>
          <w:iCs/>
          <w:sz w:val="26"/>
          <w:szCs w:val="26"/>
        </w:rPr>
        <w:t xml:space="preserve"> O Brasil tem uma dificuldade grande na transição dos processos de planejamento para a respectiva execução e implementação, tendo o licenciamento ambiental como um dos processos regulatórios, que define como realizar a regulação, a execução e implementação desses projetos. Vou trazer um pouco dos dados do licenciamento ambiental, a situação atual do licenciamento ambiental. Lembro que ele é um dos instrumentos previstos na Política Nacional do Meio Ambiente, a Lei nº 6938, de 1981, instrumento que foi inicialmente implementado no âmbito de alguns Estados da Federação. Em 1981, ele foi acolhido pelo arcabouço normativo federal. Temos, no âmbito do Conama, a Resolução Conama 1, de 1986, e a Resolução Conama 237, de 1997, os principais marcos regulatórios utilizados pelo licenciamento ambiental. Então, vejam que se trata de uma resolução de 1986 e uma resolução de 1997. Em termos da carteira de processos do Ibama, em 1986 não havia sequer duas dezenas de projetos em carteira. Em 1997, não havia sequer duas centenas de projetos em carteira. Hoje, tenho 1950 projetos em carteira. Temos uma equipe dedicada ao licenciamento ambiental, no Ibama, de 420 analistas ambientais, temos uma produção técnica de aproximadamente três atos autorizativos por dia útil, o que dá aproximadamente 800, 830 atos autorizativos por ano, dos quais cerca de dez por cento seria licenças prévias, licenças de instalação ou licença de operação. É importante lembrar que o objeto de desejo de todo empreendedor seja a licença de instalação, que autoriza o início das obras, o processo é formado por outros processos autorizativos. Com uma licença de instalação e sem uma autorização de supressão de vegetação, o empreendedor não consegue fazer nada, está amarrado. E, ainda que tenha uma licença de instalação e uma autorização de supressão de vegetação, se ele não tiver uma autorização de fauna associada a essa autorização de supressão de vegetação, mais uma vez o empreendedor não consegue iniciar suas obras. Por isso, há esse grande número de atos autorizativos associados ao projeto, não só a produção técnica exclusiva de licenças prévias, de instalação e operação. Quero ressaltar que, embora o Ibama seja aqui presente, o Ibama não é o principal órgão licenciador, em termos de demanda de licenciamento ambiental. Após a Lei Complementar nº 140, de 2011, essa demanda está mais concentrada nos Estados. A Lei Complementar nº 140 veio para descentralizar a demanda do licenciamento ambiental. A carteira do Ibama, essa carteira de 1.900 processos não chega a 20% de toda a demanda para o licenciamento ambiental, considerando aí Estados e Municípios, que também têm a competência de promover o licenciamento ambiental.</w:t>
      </w:r>
    </w:p>
    <w:p w:rsidR="000C2155" w:rsidRPr="000C2155" w:rsidRDefault="000C2155" w:rsidP="000C2155">
      <w:pPr>
        <w:spacing w:before="120" w:after="360"/>
        <w:ind w:firstLine="1418"/>
        <w:jc w:val="both"/>
        <w:rPr>
          <w:i/>
          <w:iCs/>
          <w:sz w:val="26"/>
          <w:szCs w:val="26"/>
        </w:rPr>
      </w:pPr>
      <w:r w:rsidRPr="000C2155">
        <w:rPr>
          <w:iCs/>
          <w:sz w:val="26"/>
          <w:szCs w:val="26"/>
        </w:rPr>
        <w:t>Após outras considerações, o Sr. Thomaz Toledo apresentou suas sugestões</w:t>
      </w:r>
      <w:r w:rsidRPr="000C2155">
        <w:rPr>
          <w:i/>
          <w:iCs/>
          <w:sz w:val="26"/>
          <w:szCs w:val="26"/>
        </w:rPr>
        <w:t>. Então, a provocação que eu deixo aqui, inclusive para o setor de transportes e para o setor de portos: avaliarmos como é que não poderíamos replicar esse modelo também nessas áreas, porque não talvez eu emitir uma única licença por um conjunto de três, quatro rodovias sendo objeto de um único Estudo Ambiental? É uma forma de talvez otimizarmos as discussões e, com isso, fazermos frente a esse desafio, a essa quantidade enorme de demanda para o licenciamento ambiental.</w:t>
      </w:r>
    </w:p>
    <w:p w:rsidR="000C2155" w:rsidRPr="000C2155" w:rsidRDefault="000C2155" w:rsidP="000C2155">
      <w:pPr>
        <w:spacing w:before="120" w:after="360"/>
        <w:ind w:firstLine="1418"/>
        <w:jc w:val="both"/>
        <w:rPr>
          <w:i/>
          <w:iCs/>
          <w:sz w:val="26"/>
          <w:szCs w:val="26"/>
        </w:rPr>
      </w:pPr>
      <w:r w:rsidRPr="000C2155">
        <w:rPr>
          <w:i/>
          <w:iCs/>
          <w:sz w:val="26"/>
          <w:szCs w:val="26"/>
        </w:rPr>
        <w:t>Por último, é importante também – eu dei um exemplo aqui da EPL, no setor de transportes, solicitando de forma antecipada a emissão das licenças ambientais antes mesmo da concessão, em alguns casos –, o órgão licenciador receber o quanto antes a demanda pelo licenciamento ambiental. Por exemplo, no setor de infraestrutura de transmissão de energias, temos uma discussão antiga do Ministério do Meio Ambiente com o Ministério de Minas e Energia, poderíamos viabilizar uma forma de antecipar abertura do processo de licenciamento ambiental, não deixar que ele só seja aberto após a realização da concessão, pois aí o tempo já é curto para implantação e início de operação daquela infraestrutura. Então, para todas as tipologias fica essa recomendação, a gente desenvolver nos modelos uma possibilidade para abertura, o quanto antes, dos processos de licenciamento ambiental, porque o tempo que a gente perde até a abertura do processo de licenciamento ambiental é difícil a gente tirar no âmbito do processo.</w:t>
      </w:r>
    </w:p>
    <w:p w:rsidR="000C2155" w:rsidRPr="000C2155" w:rsidRDefault="000C2155" w:rsidP="000C2155">
      <w:pPr>
        <w:spacing w:before="120" w:after="360"/>
        <w:ind w:firstLine="1418"/>
        <w:jc w:val="both"/>
        <w:rPr>
          <w:i/>
          <w:iCs/>
          <w:sz w:val="26"/>
          <w:szCs w:val="26"/>
        </w:rPr>
      </w:pPr>
      <w:r w:rsidRPr="000C2155">
        <w:rPr>
          <w:iCs/>
          <w:sz w:val="26"/>
          <w:szCs w:val="26"/>
          <w:shd w:val="clear" w:color="auto" w:fill="FFFFFF"/>
        </w:rPr>
        <w:t xml:space="preserve">O Sr. Franklin Rodrigues da Costa apresentou as considerações sobre o papel do </w:t>
      </w:r>
      <w:r w:rsidRPr="000C2155">
        <w:rPr>
          <w:sz w:val="26"/>
          <w:szCs w:val="26"/>
          <w:shd w:val="clear" w:color="auto" w:fill="FFFFFF"/>
        </w:rPr>
        <w:t>Ministério Público</w:t>
      </w:r>
      <w:r w:rsidRPr="000C2155">
        <w:rPr>
          <w:i/>
          <w:iCs/>
          <w:sz w:val="26"/>
          <w:szCs w:val="26"/>
        </w:rPr>
        <w:t>. Quero elogiar o convite ao Ministério Público e trazer os esclarecimentos sobre esses temas. O Ministério Público Federal tem várias câmaras de coordenação nessas questões de infraestrutura e de transporte. Uma é a quinta câmara, a câmara de defesa do patrimônio público. Os colegas estão sempre acompanhando as licitações, os procedimentos em busca de alguma coisa que indique desvio, superfaturamento alguma ilegalidade. A outra, a terceira câmara, é a câmara de defesa da concorrência e de defesa do consumidor, que tem a sua fixação na prestação eficiente do serviço público. Então, nós temos frequentemente reuniões e parcerias em trabalho de interação com os ministérios responsáveis pela infraestrutura e também com as agências, quanto à matéria de portos, aeroportos, ferrovias e rodovias. Em todas as agências o Ministério Público tem seminários conjuntos, tem feito debates, tem feito o acompanhamento além do acompanhamento junto ao Tribunal de Contas da União.[...]</w:t>
      </w:r>
    </w:p>
    <w:p w:rsidR="000C2155" w:rsidRDefault="000C2155" w:rsidP="000C2155">
      <w:pPr>
        <w:spacing w:before="120" w:after="360"/>
        <w:ind w:firstLine="1418"/>
        <w:jc w:val="both"/>
        <w:rPr>
          <w:i/>
          <w:iCs/>
          <w:sz w:val="26"/>
          <w:szCs w:val="26"/>
          <w:shd w:val="clear" w:color="auto" w:fill="FFFFFF"/>
        </w:rPr>
      </w:pPr>
      <w:r w:rsidRPr="000C2155">
        <w:rPr>
          <w:i/>
          <w:iCs/>
          <w:sz w:val="26"/>
          <w:szCs w:val="26"/>
        </w:rPr>
        <w:t>O que é a sugestão do Ministério Público que faço. Nós temos uma dificuldade no País. Nós temos em outros países, principalmente nos Estados Unidos, as chamadas forças-tarefa, que foram criadas principalmente para combate à corrupção, combate ao tráfico de entorpecentes, a uma série de coisas. O que esta audiência pública traz? Traz a presença de vários órgãos e instituições que convergem para o objetivo, que é o desenvolvimento da logística de transporte em nosso País, quanto a essa deficiência que nós já apontamos aqui. A sugestão que eu deixo é formar também forças-tarefa para esse tipo de trabalho, juntando não só com as agências de cada um dos modais, com o Ministério dos Transportes, com o Ibama, com o Tribunal de Contas da União e, por que não também o Ministério Público? É verdade que o Ministério Público, por vedação constitucional, não pode dar parecer e não pode exercer serviço de consultoria, mas tenho impressão de que a presença do Ministério Público previamente a grandes projetos, como vem sendo feito hoje com o Tribunal de Contas da União, por meio das suas câmaras de atuação – Câmara de Combate à Corrupção, a câmara de defesa do patrimônio público e a Câmara de Meio Ambiente – temos problemas também até de sítios históricos em determinadas passagens. Essa é uma tratativa. Então, eu deixo aqui... Primeiro, dizer que o Ministério Público está à disposição, tem interesse e acompanha isso em várias vertentes, tanto na vertente do patrimônio público, de proteção, quando na vertente ambiental, quanto na vertente da eficiência, da busca da eficiência do serviço público e também na proteção ao consumidor, como é o caso por exemplo, dos pedágios. O Ministério Público tem trabalhado muito essa questão da redução do valor dos pedágios, exercendo seu papel em defesa do consumidor</w:t>
      </w:r>
      <w:r w:rsidRPr="000C2155">
        <w:rPr>
          <w:i/>
          <w:iCs/>
          <w:sz w:val="26"/>
          <w:szCs w:val="26"/>
          <w:shd w:val="clear" w:color="auto" w:fill="FFFFFF"/>
        </w:rPr>
        <w:t>. [...] quero deixar a sugestão de como se fazer forças-tarefa com esses órgãos para dar eficiência e celeridade na aprovação de projetos nesse sentido. O Ministério Público está aberto à recepção seja das empresas privadas que vêm apresentar projetos, seja dos órgãos para debates, para discussões sobre esses temas.</w:t>
      </w:r>
    </w:p>
    <w:p w:rsidR="000C2155" w:rsidRDefault="000C2155" w:rsidP="000C2155">
      <w:pPr>
        <w:pStyle w:val="01-TtuloEstudoNota-CLG"/>
      </w:pPr>
      <w:r>
        <w:rPr>
          <w:i/>
          <w:iCs/>
          <w:sz w:val="26"/>
          <w:szCs w:val="26"/>
          <w:shd w:val="clear" w:color="auto" w:fill="FFFFFF"/>
        </w:rPr>
        <w:br w:type="page"/>
      </w:r>
      <w:r>
        <w:t>ANEXO II</w:t>
      </w:r>
    </w:p>
    <w:p w:rsidR="000C2155" w:rsidRPr="000C2155" w:rsidRDefault="000C2155" w:rsidP="000C2155">
      <w:pPr>
        <w:keepNext/>
        <w:overflowPunct w:val="0"/>
        <w:autoSpaceDE w:val="0"/>
        <w:autoSpaceDN w:val="0"/>
        <w:adjustRightInd w:val="0"/>
        <w:spacing w:before="480" w:after="480"/>
        <w:jc w:val="center"/>
        <w:textAlignment w:val="baseline"/>
        <w:outlineLvl w:val="0"/>
        <w:rPr>
          <w:b/>
          <w:bCs/>
          <w:smallCaps/>
          <w:sz w:val="26"/>
          <w:szCs w:val="26"/>
        </w:rPr>
      </w:pPr>
      <w:bookmarkStart w:id="20" w:name="_Toc442974389"/>
      <w:r>
        <w:rPr>
          <w:b/>
          <w:bCs/>
          <w:smallCaps/>
          <w:sz w:val="26"/>
          <w:szCs w:val="26"/>
        </w:rPr>
        <w:t>Audiência pública de 3 de dez</w:t>
      </w:r>
      <w:r w:rsidRPr="000C2155">
        <w:rPr>
          <w:b/>
          <w:bCs/>
          <w:smallCaps/>
          <w:sz w:val="26"/>
          <w:szCs w:val="26"/>
        </w:rPr>
        <w:t>embro de 2015</w:t>
      </w:r>
      <w:bookmarkEnd w:id="20"/>
    </w:p>
    <w:p w:rsidR="000C2155" w:rsidRPr="000C2155" w:rsidRDefault="000C2155" w:rsidP="000C2155">
      <w:pPr>
        <w:spacing w:before="120" w:after="360"/>
        <w:ind w:firstLine="1418"/>
        <w:jc w:val="both"/>
        <w:rPr>
          <w:sz w:val="26"/>
          <w:szCs w:val="26"/>
          <w:shd w:val="clear" w:color="auto" w:fill="FFFFFF"/>
        </w:rPr>
      </w:pPr>
      <w:r>
        <w:rPr>
          <w:iCs/>
          <w:sz w:val="26"/>
          <w:szCs w:val="26"/>
          <w:shd w:val="clear" w:color="auto" w:fill="FFFFFF"/>
        </w:rPr>
        <w:t>Participantes</w:t>
      </w:r>
      <w:r w:rsidRPr="000C2155">
        <w:rPr>
          <w:sz w:val="26"/>
          <w:szCs w:val="26"/>
          <w:shd w:val="clear" w:color="auto" w:fill="FFFFFF"/>
        </w:rPr>
        <w:t>:</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Valter Casimiro Silveira, Diretor-Geral do Departamento Nacional de Infraestrutura de Transportes – DNIT;</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Mário Mondolfo, Diretor de Engenharia da Valec Engenharia Construções e Ferrovias S.A.;</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Natalia Marcassa de Souza, Secretária Executiva do Ministério dos Transportes, que representa o Sr. Ministro dos Transportes neste evento; e</w:t>
      </w:r>
    </w:p>
    <w:p w:rsidR="000C2155" w:rsidRPr="000C2155" w:rsidRDefault="000C2155" w:rsidP="000C2155">
      <w:pPr>
        <w:numPr>
          <w:ilvl w:val="0"/>
          <w:numId w:val="5"/>
        </w:numPr>
        <w:shd w:val="clear" w:color="auto" w:fill="FFFFFF"/>
        <w:spacing w:line="357" w:lineRule="atLeast"/>
        <w:jc w:val="both"/>
        <w:rPr>
          <w:sz w:val="26"/>
          <w:szCs w:val="26"/>
        </w:rPr>
      </w:pPr>
      <w:r w:rsidRPr="000C2155">
        <w:rPr>
          <w:sz w:val="26"/>
          <w:szCs w:val="26"/>
        </w:rPr>
        <w:t>Arsênio José da Costa Dantas, Coordenador-Geral de Infraestrutura do Tribunal de Contas da União.</w:t>
      </w:r>
    </w:p>
    <w:p w:rsidR="000C2155" w:rsidRPr="000C2155" w:rsidRDefault="000C2155" w:rsidP="000C2155">
      <w:pPr>
        <w:spacing w:before="360" w:after="360"/>
        <w:ind w:firstLine="1418"/>
        <w:jc w:val="both"/>
        <w:rPr>
          <w:i/>
          <w:iCs/>
          <w:sz w:val="26"/>
          <w:szCs w:val="26"/>
          <w:shd w:val="clear" w:color="auto" w:fill="FFFFFF"/>
        </w:rPr>
      </w:pPr>
      <w:r w:rsidRPr="000C2155">
        <w:rPr>
          <w:sz w:val="26"/>
          <w:szCs w:val="26"/>
          <w:shd w:val="clear" w:color="auto" w:fill="FFFFFF"/>
        </w:rPr>
        <w:t xml:space="preserve">O Sr. Arsênio iniciou a apresentação. </w:t>
      </w:r>
      <w:r w:rsidRPr="000C2155">
        <w:rPr>
          <w:i/>
          <w:iCs/>
          <w:sz w:val="26"/>
          <w:szCs w:val="26"/>
          <w:shd w:val="clear" w:color="auto" w:fill="FFFFFF"/>
        </w:rPr>
        <w:t>O Tribunal tem atuado, em razão das suas secretarias especializadas, desde 1997, com atuação e fiscalização de obras públicas. Recentemente, foi estruturada a Coordenação de Infraestrutura, reunindo as unidades especializadas nessa área. Quanto a esse tema, mais de 500 fiscalizações já foram feitas. O Tribunal sinaliza com a natureza de uma fiscalização, não só a fiscalização de conformidade, de modo a colaborar, de modo a alavancar o desenvolvimento da infraestrutura. Senão, vejamos.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Trabalho realizado, em 2013, com conclusão em 2014, no DNIT. Vejam os senhores que, nesse cenário, não estava ainda presente a situação atual de recessão econômica. Era no cenário de 2012/2013. Em uma fiscalização que foi feita em 1.200 empreendimentos, havendo ou não havendo contrato, foram detectados 100 empreendimentos paralisados naquele momento. A distribuição, a partir de todo um entendimento feito com o DNIT e de uma discussão clara do que era e do que não era paralisação, resultou nesse gráfico que temos.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Inicialmente, não havia justificativa em 31%. O DNIT não conseguiu, à época, apresentar essa justificativa em 31% daqueles empreendimentos paralisados. Posteriormente, temos problemas com projetos, 27%; em 19%, pendências diversas administrativas; depois, vêm desapropriações, descontinuidade do empreendimento, atuação do Tribunal – no caso, havia apontado duas obras –, e dotação orçamentária, que à época não era problema.</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Tribunal, junto com o DNIT, trabalhou no sentido de apurar esse cadastro, de apurar essas obras e encaminhou para o Legislativo e para o próprio DNIT. Esse foi um trabalho nessa parte de obras então paralisadas. Na sequência, foi feito um trabalho nas que estavam com atraso. Já foi um avanço. Nós trabalhamos em atraso de obras, nesse mesmo sentido de buscar alavancar a gestão dos órgãos que tocam as obras e de atender às necessidades, uma vez que a paralisação e o atraso acabam importando um maior prejuízo para a sociedade.</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Nesse caso, foram constatados novamente problemas de prazo e cronogramas ineficientes em controle de prazo, problemas com a definição de aditivos para as obras. Nesse sentido, o Tribunal proferiu, como é a praxe em trabalhos dessa natureza, recomendações para que fossem criados critérios objetivos para avaliar os pedidos de prorrogação, para que fosse dada mais transparência a essas questões no sentido dos empreendimentos, para que fosse criada funcionalidade no próprio sistema de acompanhamento de contratos do DNIT, de modo a ter indicadores e avaliações dessas paralisações e atrasos.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Paralelamente, o Tribunal também realizou uma auditoria no sistema de acompanhamento de contratos, uma avaliação inicial e, posteriormente, monitoramentos no sentido de que o sistema viesse atender essas necessidades. Foram encontradas impropriedades. Isso foi conduzido pela própria unidade especializada do Tribunal em fiscalização de sistemas. A partir daí, temos notícia de que foram feitas melhorias, funcionalidades e adotadas ações para recuperar inclusive valores que tinham sido pagos indevidamente. Isso no âmbito do DNIT.</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Trabalhos de natureza semelhante também têm sido feitos recentemente na área ferroviária, como foi o caso no operacional do PIL Ferrovias, também deliberação de 2015. O Tribunal enviou recomendações ao Ministério para a elaboração de estudos técnicos para contemplar as avaliações; alternativas que justificassem o modelo pensado, na época; seleção de trechos e a elaboração de uma matriz de responsabilidades contemplando os responsáveis e os prazos pelo cumprimento das ações de investimento necessárias à implantação. Essa determinação foi objeto de solicitação de prorrogação de prazo pelo Ministério. O Tribunal continua aguardando o recebimento do plano, das providências a serem tomadas. [...]</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Enfim, são orientações e recomendações do Tribunal de sua função constitucional e precípua de acompanhar o orçamento, a aplicação dos recursos orçamentários, como entidade de fiscalização superior, que trabalha com critérios. Os critérios são estabelecidos pelo poder legiferante, pelo Congresso Nacional, enfim, por quem tem poder de editar leis e normativos, o Tribunal segue esses critérios. Ele não está criando, como tem sido, na minha opinião, indevidamente, acusado de estar influindo na gestão dos órgãos ou coisa dessa natureza. Nesses casos, a determinação é para que se faça um plano, para que melhore o planejamento, enfim, de natureza de gestão, mas não é uma ingerência nos órgãos. Entendemos que é uma atuação que pode, sim, resultar em benefícios.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Paralelamente, posso citar que, na última rodada de fiscalização que o Tribunal faz em atenção aos ditames da LDO, da fiscalização das obras, os empreendimentos que foram indicados como paralisação à Comissão Mista de Orçamento, inclusive ontem fui à Comissão, foram os empreendimentos que dizem respeito especificamente a contrato de repasse de recursos do Ministério das Cidades em São Paulo. O primeiro e o terceiro, na própria Comissão, os órgãos já se comprometeram a suspender, na verdade, a revogar o edital e adotar um edital mais adequado, porque o Tribunal apontou problemas de competitividade, prejuízo à competitividade. Esses dois casos já estão resolvidos, como foi o caso de Brasília, com o BRT.</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Então, o Tribunal, muito apropriadamente, vem atuando cada vez mais nas fases anteriores à obra, seja no estudo de viabilidade, projetos e editais e, se for o caso também, atua na execução.</w:t>
      </w:r>
    </w:p>
    <w:p w:rsidR="000C2155" w:rsidRPr="000C2155" w:rsidRDefault="000C2155" w:rsidP="000C2155">
      <w:pPr>
        <w:spacing w:before="120" w:after="360"/>
        <w:ind w:firstLine="1418"/>
        <w:jc w:val="both"/>
        <w:rPr>
          <w:i/>
          <w:iCs/>
          <w:sz w:val="26"/>
          <w:szCs w:val="26"/>
          <w:shd w:val="clear" w:color="auto" w:fill="FFFFFF"/>
        </w:rPr>
      </w:pPr>
      <w:r w:rsidRPr="000C2155">
        <w:rPr>
          <w:iCs/>
          <w:sz w:val="26"/>
          <w:szCs w:val="26"/>
          <w:shd w:val="clear" w:color="auto" w:fill="FFFFFF"/>
        </w:rPr>
        <w:t>Em sua apresentação, o representante da Valec destacou que</w:t>
      </w:r>
      <w:r w:rsidRPr="000C2155">
        <w:rPr>
          <w:i/>
          <w:iCs/>
          <w:sz w:val="26"/>
          <w:szCs w:val="26"/>
          <w:shd w:val="clear" w:color="auto" w:fill="FFFFFF"/>
        </w:rPr>
        <w:t xml:space="preserve"> hoje, a Valec tem duas grandes obras sob sua responsabilidade. A primeira delas é a Ferrovia Norte-Sul (FNS), que chamamos de Extensão Sul, que é um trecho que vai da região de Anápolis até Estrela d'Oeste, em São Paulo. É muito importante esse trecho porque, em São Paulo, ele vai ligar a ferrovia da ALL, que transporta os grãos da região de Mato Grosso até o Porto de Santos. Então, vai ser uma importante integração logística. Esse trecho foi dividido em cinco lotes, com mais dois lotes adicionais, um de ligação com a ferrovia da ALL e outro pequeno trecho que foi licitado posteriormente. Também sob a responsabilidade da Valec está a Ferrovia de Integração Oeste-Leste (Fiol). O projeto original liga desde a Norte-Sul até Ilhéus. O trecho que está em execução hoje é o trecho entre Barreiras e Ilhéus, que foi dividido em nove lotes de obra. [...]</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Foi um ano difícil em relação às questões orçamentárias e financeiras. No primeiro semestre, vínhamos num ritmo de obra muito pesado, no ano passado, com alta porcentagem de execução, quando começaram a surgir as nossas restrições financeiras. Em função disso, a Valec fez um planejamento para que as obras pudessem diminuir de ritmo ordenadamente, de forma que não houvesse perdas de serviços já realizados, procurando minimizar isso. Então, essa é a situação da Ferrovia Norte-Sul hoje, da Extensão Sul, com um planejamento de faturamento das empresas até dezembro. Com isso, deve terminar o ano de 2015 com o avanço das obras em torno de 91,3%.</w:t>
      </w:r>
    </w:p>
    <w:p w:rsidR="000C2155" w:rsidRPr="000C2155" w:rsidRDefault="000C2155" w:rsidP="000C2155">
      <w:pPr>
        <w:spacing w:before="120" w:after="360"/>
        <w:ind w:firstLine="1418"/>
        <w:jc w:val="both"/>
        <w:rPr>
          <w:i/>
          <w:iCs/>
          <w:sz w:val="26"/>
          <w:szCs w:val="26"/>
          <w:shd w:val="clear" w:color="auto" w:fill="FFFFFF"/>
        </w:rPr>
      </w:pPr>
      <w:r w:rsidRPr="000C2155">
        <w:rPr>
          <w:iCs/>
          <w:sz w:val="26"/>
          <w:szCs w:val="26"/>
          <w:shd w:val="clear" w:color="auto" w:fill="FFFFFF"/>
        </w:rPr>
        <w:t>Quanto à situação da Fiol:</w:t>
      </w:r>
      <w:r w:rsidRPr="000C2155">
        <w:rPr>
          <w:i/>
          <w:iCs/>
          <w:sz w:val="26"/>
          <w:szCs w:val="26"/>
          <w:shd w:val="clear" w:color="auto" w:fill="FFFFFF"/>
        </w:rPr>
        <w:t xml:space="preserve"> É a mesma coisa. O avanço físico está em 40,8%. Aqui, há um detalhe que é importante salientar, que é o seguinte: a Fiol foi dividida basicamente em dois segmentos de execução. Um deles é o trecho Ilhéus-Caetité, que chamamos de Fiol 1. Esse segmento está com um percentual de avanço bastante elevado, na faixa de 70%. Lembramos que o principal insumo a ser transportado nessa região é justamente o minério de ferro proveniente das minas da região de Caetité. O trecho entre Caetité e Barreiras já está com 20% de execução, em média. Por essa razão, a média global está em torno de 40,8%. A ideia é terminar, inicialmente, o trecho entre Ilhéus e Caetité.</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Como é de conhecimento geral, algumas empresas tiveram dificuldades financeiras. Foi noticiada na imprensa a questão de greve etc.. Isso motivou alguns pedidos por parte das empresas de suspensão do contrato que foi renegociado com a Valec. [...]  a Fiol tinha em torno de sete mil funcionários em novembro de 2014, e, hoje, 1,2 mil funcionários. Em termos de equipamentos, havia dois mil equipamentos; hoje, 245 equipamentos. A mesma situação se dá na Norte-Sul, onde havia 4,5 mil funcionários; hoje, 1,2 mil empregados estão trabalhando.</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Essa é a situação financeira hoje dos contratos da Valec. Em dezembro, não foi lançado nenhum valor de aporte de recursos, pelas razões que todos nós sabemos. Se perdurar essa situação, terminaremos o ano com um saldo de dívida em torno de R$320 milhões, o que significa basicamente dois meses de atraso em pagamentos.[...]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Então, essa é a situação para 2016 com relação ao trecho central da FNS, que já está em operação. Está ali com 97,9%. É uma questão de que a Valec tem ainda alguns compromissos no sentido de compensações ambientais que se vão estender para os próximos quatro anos. Quanto à Extensão Sul, a gente pretende terminar o ano de 2016 com 98% de execução, o que permitirá entrar em operação no início do primeiro trimestre, primeiro quadrimestre de 2017. E a Fiol avançaria de 42% para 49%.</w:t>
      </w:r>
    </w:p>
    <w:p w:rsidR="000C2155" w:rsidRPr="000C2155" w:rsidRDefault="000C2155" w:rsidP="000C2155">
      <w:pPr>
        <w:spacing w:before="120" w:after="360"/>
        <w:ind w:firstLine="1418"/>
        <w:jc w:val="both"/>
        <w:rPr>
          <w:i/>
          <w:sz w:val="26"/>
          <w:szCs w:val="26"/>
          <w:shd w:val="clear" w:color="auto" w:fill="FFFFFF"/>
        </w:rPr>
      </w:pPr>
      <w:r w:rsidRPr="000C2155">
        <w:rPr>
          <w:iCs/>
          <w:sz w:val="26"/>
          <w:szCs w:val="26"/>
          <w:shd w:val="clear" w:color="auto" w:fill="FFFFFF"/>
        </w:rPr>
        <w:t xml:space="preserve">O sr.  Valter Casimiro Silveira apresentou as considerações do DNIT. </w:t>
      </w:r>
      <w:r w:rsidRPr="000C2155">
        <w:rPr>
          <w:i/>
          <w:sz w:val="26"/>
          <w:szCs w:val="26"/>
          <w:shd w:val="clear" w:color="auto" w:fill="FFFFFF"/>
        </w:rPr>
        <w:t>O DNIT recebeu uma previsão de gasto na Lei Orçamentária de 2005 na ordem de R$10 bilhões e trouxe uma carteira de Restos a Pagar de R$10,7 bilhões, que totalizava pouco mais de R$20 bilhões para executar no exercício de 2015. Com o contingenciamento, foi dado um limite de empenho para o DNIT e, consequentemente, um limite de pagamento, de R$6,4 bilhões, um corte de aproximadamente 36%. E hoje o DNIT já pagou, desse limite, R$5,9 bilhões; então, a  tem um saldo de pagamento ainda de R$500 milhões para o mês de dezembro. [...] grande parte do que foi pago foram valores de Restos a Pagar. Somente 0,6, ou seja, R$600 milhões foram executados com o orçamento do exercício.</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Comparando com 2014: juntando Restos a Pagar e orçamento, um montante de R$23 bilhões, sendo que $11 bilhões do orçamento normal e R$11 bilhões, do orçamento de Restos a Pagar. E [...] um limite de execução de R$9,8 bilhões. Com isso, o DNIT teve que tomar algumas medidas para poder reduzir o nível de execução, já que o histórico era de execução de aproximadamente R$10 bilhões/ano. Tendo que reduzir quase 40%, nós aplicamos algumas medidas. [...]</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que tivemos que fazer para poder ajustar esse limite orçamentário e financeiro em relação aos contratos? O DNIT, hoje, tem quase mil contratos ativos em execução e teve que priorizar a parte da manutenção, para que não tivéssemos uma degradação da malha hoje existente. Então, nas obras em execução, iniciadas, nós reduzimos em aproximadamente 35% o ritmo dos contratos de manutenção e em 45% o ritmo dos contratos de construção, fazendo uma repactuação desses contratos para poder estipular um valor máximo de medição mensal, para que não aumentássemos o volume de estoque de dívida do DNIT.</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Tomamos a iniciativa de não dar a emissão de novas ordens de início de obra. Isso, claro que para obras de construção, duplicação, aumento de capacidade. Para a parte de manutenção, tivemos que estipular um limite por unidade da Federação, Estado, onde se fazia a avaliação da malha, da necessidade iminente de ataque, de manutenção, para que se pudesse priorizar a malha que tivesse maior nível de deterioração.</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Então, essa redução, apesar de termos colocado 35% para manutenção, nós não estipulamos em que rodovias nós deveríamos reduzir por superintendência, isso ficou a cargo dos nossos superintendentes regionais. Aqui, a Diretoria do DNIT só estipulou um corte por unidade da Federação e, claro, fazia a avaliação caso a caso para aumentar ou diminuir o nível de intervenção em cada unidade, dependendo da condição da malha existente.</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Os trechos inseridos no programa de concessão: iniciamos um processo de negociação com a ANTT e com o Ministério para que as obras que estavam a cargo do DNIT pudessem ser repassadas ou para as concessionárias ou para a ANTT, para poder fazer de forma direta, evitando, assim, a paralisação das obras nos trechos concedidos. Cito aqui o caso da BR-163, que tem já a cobrança de tarifas de pedágio e tem a obrigatoriedade de o DNIT entregar um trecho duplicado, de Cuiabá até Rondonópolis, isso ficou a cargo do DNIT. Como tivemos que fazer a repactuação, nós estamos em tratativas com a ANTT para poder passar esses contratos para que a ANTT execute e, assim, evite atrasos e redução no cronograma de execução.</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Recebemos alguns Parlamentares e empresas questionando se podemos atribuir que os nossos cronogramas aumentaram em relação ao que estava previsto, em torno de 45, para construção, e 35, para manutenção. Não podemos fazer essa correlação porque isso depende muito da fase em que o contrato estava em execução. Contratos que já estavam próximos de finalizar, você reduz 45% no ritmo. Hoje, você não vai ter um aumento de 45% no cronograma total do contrato, vai ter somente naquele restante do contrato que falta ser executado. Então, obras que estavam já na sua fase de finalização aumentaram um mês, dois meses, três meses. Agora, obras que estavam no início, realmente, vão sofrer aí essa redução, até que venhamos a restabelecer o cronograma de obra com o fluxo financeiro condizente com o que já estava no planejamento inicial desses contratos</w:t>
      </w:r>
      <w:r w:rsidRPr="000C2155">
        <w:rPr>
          <w:rFonts w:ascii="Arial" w:hAnsi="Arial" w:cs="Arial"/>
          <w:sz w:val="26"/>
          <w:szCs w:val="26"/>
          <w:shd w:val="clear" w:color="auto" w:fill="FFFFFF"/>
        </w:rPr>
        <w:t>.</w:t>
      </w:r>
    </w:p>
    <w:p w:rsidR="000C2155" w:rsidRPr="000C2155" w:rsidRDefault="000C2155" w:rsidP="000C2155">
      <w:pPr>
        <w:spacing w:before="120" w:after="360"/>
        <w:ind w:firstLine="1418"/>
        <w:jc w:val="both"/>
        <w:rPr>
          <w:i/>
          <w:iCs/>
          <w:sz w:val="26"/>
          <w:szCs w:val="26"/>
          <w:shd w:val="clear" w:color="auto" w:fill="FFFFFF"/>
        </w:rPr>
      </w:pPr>
      <w:r w:rsidRPr="000C2155">
        <w:rPr>
          <w:iCs/>
          <w:sz w:val="26"/>
          <w:szCs w:val="26"/>
          <w:shd w:val="clear" w:color="auto" w:fill="FFFFFF"/>
        </w:rPr>
        <w:t>A visão do Ministério dos Transportes foi apresentada pela Sra Natália Marcassa de Souza</w:t>
      </w:r>
      <w:r w:rsidRPr="000C2155">
        <w:rPr>
          <w:i/>
          <w:iCs/>
          <w:sz w:val="26"/>
          <w:szCs w:val="26"/>
          <w:shd w:val="clear" w:color="auto" w:fill="FFFFFF"/>
        </w:rPr>
        <w:t>. Este ano, principalmente, foi um ano duro para o Sistema Transportes.[...] Nós vínhamos num ritmo de execução de obra de mais ou menos R$12 bi ao ano, nos últimos cinco anos, e este ano nós tivemos um contingenciamento de orçamento PAC de 40%. Então, este ano, tivemos R$9 bi para executar. É lógico que isso traz uma diminuição no ritmo das obras que o Sistema Transportes estava executando. [...]</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Ministério dos Transportes, nesse sentido, em 2012, já vinha trabalhando com o Governo Federal no Plano de Investimento em Logística. Então, além da execução que vamos ter em 2015, de R$9 bi, que vai ser em OGU, temos também, via concessões, cerca de R$5 bilhões, que serão executados via investimento privado. Então, temos uma certa compensação, que está sendo executada via investimento privado nas rodovias.[...]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Sistema Transportes [...] priorizou, no DNIT, a manutenção e a sinalização das rodovias, para que não tenhamos uma perda de investimento, porque no setor rodoviário, quando deixamos de investir em manutenção, o gasto a seguir é exponencial e muito mais caro. Então, vamos restringir o início de novas obras de ampliação, mas vamos resguardar os contratos de manutenção. Os contratos de manutenção foram priorizados. Outro item que priorizamos na parte rodoviária foi a execução de projetos. A verba, para a nossa carteira de projetos, está mantida, porque esperamos que o País vai se recuperar. Quando o País se recuperar, vamos ter projeto para executar. Então, não vamos ter um contingenciamento na verba de projeto, para na hora que houver recurso, não ficar se perguntado pelo projeto. Então, o projeto estará pronto.</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Do lado da Valec, devido à restrição orçamentária que houve também no setor ferroviário, priorizamos a execução na Norte-Sul, que é a obra ferroviária está mais avançada, cerca de 85%, é mais ou menos o trecho da Norte-Sul. Então, priorizamos a Norte-Sul em detrimento da Fiol, cujo ritmo de execução ainda é mais baixo, acho que 45%, na casa de 40% a 50%. Priorizamos essa, além desse trecho da Norte-Sul também estar dentro do Programa de Investimento em Logística, e deve ser concedido.[...]</w:t>
      </w:r>
    </w:p>
    <w:p w:rsidR="000C2155" w:rsidRPr="000C2155" w:rsidRDefault="000C2155" w:rsidP="000C2155">
      <w:pPr>
        <w:spacing w:before="120" w:after="360"/>
        <w:ind w:firstLine="1418"/>
        <w:jc w:val="both"/>
        <w:rPr>
          <w:i/>
          <w:iCs/>
          <w:sz w:val="26"/>
          <w:szCs w:val="26"/>
          <w:shd w:val="clear" w:color="auto" w:fill="FFFFFF"/>
        </w:rPr>
      </w:pPr>
      <w:r w:rsidRPr="000C2155">
        <w:rPr>
          <w:sz w:val="26"/>
          <w:szCs w:val="26"/>
          <w:shd w:val="clear" w:color="auto" w:fill="FFFFFF"/>
        </w:rPr>
        <w:t xml:space="preserve"> </w:t>
      </w:r>
      <w:r w:rsidRPr="000C2155">
        <w:rPr>
          <w:i/>
          <w:iCs/>
          <w:sz w:val="26"/>
          <w:szCs w:val="26"/>
          <w:shd w:val="clear" w:color="auto" w:fill="FFFFFF"/>
        </w:rPr>
        <w:t>E, como infraestrutura geral, foi lançado, no início deste ano, o Programa de Investimento em Logística, que prevê a concessão de 16 trechos rodoviários. O primeiro foi licitado ainda neste ano, que foi a "reconcessão", [...] da Ponte Rio-Niterói, que foi até um grande sucesso. Tivemos redução tarifária com ampliação de investimento. Na Ponte Rio-Niterói, vai ser realizado, nos próximos anos, R$1,3 bi de investimento, com investimentos do lado de Niterói, com mergulhão; do lado do Rio de Janeiro, a ligação com a Linha Vermelha.</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São outros 15 trechos rodoviários que a ANTT está trabalhando para lançar e tentar fazer os leilões o ano que vem. O ambiente econômico, lógico, está mais inóspito, mas o Sistema Transportes, junto com o BNDES e todo o Governo está trabalhando em busca de investidores e parceiros, porque esses são contratos de concessão de longo prazo. Lógico, eles sofrem uma interferência do momento econômico do curto prazo, mas são contratos para atender em 30 anos, que tem um horizonte de recuperação da economia.</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Programa de Investimento em Logística Rodovia prevê investimentos da ordem de R$ 66 bi, e da parte ferroviária, são cinco empreendimentos, além do estudo da Bioceânica, os cinco empreendimentos preveem investimento de R$40 bilhões.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Em relação ao pagamento das obras que aí estão, o Ministério dos Transportes as vincularam junto com o próprio Governo Federal e estão buscando, com os bancos públicos, viabilizar uma linha de crédito para que as empresas que hoje têm contratos públicos, DNIT e Valec, possam acessar uma linha de crédito um pouco mais facilitada, tentando dar agilidade a essas obras, que hoje estão em ritmo reduzido. Essa é outra frente em que estamos trabalhando para tentar manter o nível de execução desses contratos.</w:t>
      </w:r>
    </w:p>
    <w:p w:rsidR="000C2155" w:rsidRPr="000C2155" w:rsidRDefault="000C2155" w:rsidP="000C2155">
      <w:pPr>
        <w:spacing w:before="120" w:after="360"/>
        <w:ind w:firstLine="1418"/>
        <w:jc w:val="both"/>
        <w:rPr>
          <w:i/>
          <w:iCs/>
          <w:sz w:val="26"/>
          <w:szCs w:val="26"/>
          <w:shd w:val="clear" w:color="auto" w:fill="FFFFFF"/>
        </w:rPr>
      </w:pPr>
      <w:r w:rsidRPr="000C2155">
        <w:rPr>
          <w:i/>
          <w:iCs/>
          <w:sz w:val="26"/>
          <w:szCs w:val="26"/>
          <w:shd w:val="clear" w:color="auto" w:fill="FFFFFF"/>
        </w:rPr>
        <w:t>O Ministério está analisando a malha rodoviária hoje existente. Hoje, em posse do DNIT, nós temos 52 mil quilômetros de rodovias, 16 contratos já foram lançados como possíveis concessões, mas há uma gama da malha rodoviária que talvez pudesse ser analisada como uma concessão um pouco mais simples, só com manutenção desses trechos em contratos menores. Então o Ministério dos Transportes também está estudando isso como uma maneira de viabilizar a execução dos investimentos, mesmo num cenário de restrição orçamentária</w:t>
      </w:r>
      <w:r>
        <w:rPr>
          <w:i/>
          <w:iCs/>
          <w:sz w:val="26"/>
          <w:szCs w:val="26"/>
          <w:shd w:val="clear" w:color="auto" w:fill="FFFFFF"/>
        </w:rPr>
        <w:t>.</w:t>
      </w:r>
    </w:p>
    <w:p w:rsidR="000C2155" w:rsidRPr="000476A7" w:rsidRDefault="000C2155" w:rsidP="000C2155">
      <w:pPr>
        <w:pStyle w:val="04-PargrafodetextoEstudoNotas-CLG"/>
      </w:pPr>
    </w:p>
    <w:sectPr w:rsidR="000C2155" w:rsidRPr="000476A7" w:rsidSect="00140205">
      <w:pgSz w:w="11907" w:h="16840" w:code="9"/>
      <w:pgMar w:top="1985" w:right="1418" w:bottom="1418"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8A7" w:rsidRDefault="001008A7">
      <w:r>
        <w:separator/>
      </w:r>
    </w:p>
  </w:endnote>
  <w:endnote w:type="continuationSeparator" w:id="0">
    <w:p w:rsidR="001008A7" w:rsidRDefault="0010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F2" w:rsidRDefault="00C570F2">
    <w:pPr>
      <w:pStyle w:val="Rodap"/>
      <w:rPr>
        <w:i/>
        <w:sz w:val="18"/>
      </w:rPr>
    </w:pPr>
    <w:r>
      <w:rPr>
        <w:i/>
        <w:sz w:val="18"/>
      </w:rPr>
      <w:t>cf-mb</w:t>
    </w:r>
    <w:r w:rsidR="00D21138" w:rsidRPr="00D21138">
      <w:t xml:space="preserve"> </w:t>
    </w:r>
    <w:r w:rsidR="00D21138" w:rsidRPr="00D21138">
      <w:rPr>
        <w:i/>
        <w:sz w:val="18"/>
      </w:rPr>
      <w:t>2016-00415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8A7" w:rsidRDefault="001008A7">
      <w:r>
        <w:separator/>
      </w:r>
    </w:p>
  </w:footnote>
  <w:footnote w:type="continuationSeparator" w:id="0">
    <w:p w:rsidR="001008A7" w:rsidRDefault="001008A7">
      <w:r>
        <w:continuationSeparator/>
      </w:r>
    </w:p>
  </w:footnote>
  <w:footnote w:id="1">
    <w:p w:rsidR="00BB43EB" w:rsidRDefault="00BB43EB">
      <w:pPr>
        <w:pStyle w:val="Textodenotaderodap"/>
      </w:pPr>
      <w:r>
        <w:rPr>
          <w:rStyle w:val="Refdenotaderodap"/>
        </w:rPr>
        <w:footnoteRef/>
      </w:r>
      <w:r>
        <w:t xml:space="preserve"> Em pesquisa na internet, foram encontradas referências a apenas duas reuniões ordinárias do Conit desde sua criação.</w:t>
      </w:r>
    </w:p>
  </w:footnote>
  <w:footnote w:id="2">
    <w:p w:rsidR="00C72598" w:rsidRDefault="00C72598" w:rsidP="00C72598">
      <w:pPr>
        <w:pStyle w:val="Textodenotaderodap"/>
      </w:pPr>
      <w:r>
        <w:rPr>
          <w:rStyle w:val="Refdenotaderodap"/>
        </w:rPr>
        <w:footnoteRef/>
      </w:r>
      <w:r>
        <w:t xml:space="preserve"> De Oliveira, R. W. C. Direito dos Transportes Ferroviários. Editora Lumen Juris. Rio de Janeiro, 2005. Pg. 16.</w:t>
      </w:r>
    </w:p>
  </w:footnote>
  <w:footnote w:id="3">
    <w:p w:rsidR="00C72598" w:rsidRDefault="00C72598" w:rsidP="00C72598">
      <w:pPr>
        <w:pStyle w:val="Textodenotaderodap"/>
      </w:pPr>
      <w:r>
        <w:rPr>
          <w:rStyle w:val="Refdenotaderodap"/>
        </w:rPr>
        <w:footnoteRef/>
      </w:r>
      <w:r>
        <w:t xml:space="preserve"> Ministério dos Transportes. Transportes no Brasil, Síntese Histórica. Disponível em &lt;</w:t>
      </w:r>
      <w:r w:rsidRPr="00CC4CD9">
        <w:t xml:space="preserve"> http://www.transportes.gov.br/conteudo/54-institucional/136-transportes-no-brasil-sintese-historica.html</w:t>
      </w:r>
      <w:r>
        <w:t>&gt;</w:t>
      </w:r>
    </w:p>
  </w:footnote>
  <w:footnote w:id="4">
    <w:p w:rsidR="00C72598" w:rsidRDefault="00C72598" w:rsidP="00C72598">
      <w:pPr>
        <w:pStyle w:val="Textodenotaderodap"/>
      </w:pPr>
      <w:r>
        <w:rPr>
          <w:rStyle w:val="Refdenotaderodap"/>
        </w:rPr>
        <w:footnoteRef/>
      </w:r>
      <w:r>
        <w:t xml:space="preserve"> Ano base 2007</w:t>
      </w:r>
    </w:p>
  </w:footnote>
  <w:footnote w:id="5">
    <w:p w:rsidR="00C570F2" w:rsidRDefault="00C570F2">
      <w:pPr>
        <w:pStyle w:val="Textodenotaderodap"/>
      </w:pPr>
      <w:r>
        <w:rPr>
          <w:rStyle w:val="Refdenotaderodap"/>
        </w:rPr>
        <w:footnoteRef/>
      </w:r>
      <w:r>
        <w:t xml:space="preserve"> Unidade representativa da distância vezes a carga útil transportada.</w:t>
      </w:r>
    </w:p>
  </w:footnote>
  <w:footnote w:id="6">
    <w:p w:rsidR="00C570F2" w:rsidRDefault="00C570F2" w:rsidP="00C535BE">
      <w:pPr>
        <w:pStyle w:val="Textodenotaderodap"/>
      </w:pPr>
      <w:r>
        <w:rPr>
          <w:rStyle w:val="Refdenotaderodap"/>
        </w:rPr>
        <w:footnoteRef/>
      </w:r>
      <w:r>
        <w:t xml:space="preserve"> PIB (milhões de USD) EUA: 15.653.366, Brasil: 2.207.040, FMI, 2012; Malha rodoviária pavimentada EUA 4,37 milhões de km, Brasil: 2</w:t>
      </w:r>
      <w:r w:rsidR="0046717D">
        <w:t>13.299</w:t>
      </w:r>
      <w:r>
        <w:t xml:space="preserve"> mil km, ILOS, 2012</w:t>
      </w:r>
      <w:r w:rsidR="0046717D">
        <w:t xml:space="preserve"> e CNT, 2015</w:t>
      </w:r>
      <w:r>
        <w:t>.</w:t>
      </w:r>
    </w:p>
  </w:footnote>
  <w:footnote w:id="7">
    <w:p w:rsidR="00DF2A83" w:rsidRDefault="00DF2A83" w:rsidP="00DF2A83">
      <w:pPr>
        <w:pStyle w:val="Textodenotaderodap"/>
      </w:pPr>
      <w:r>
        <w:rPr>
          <w:rStyle w:val="Refdenotaderodap"/>
        </w:rPr>
        <w:footnoteRef/>
      </w:r>
      <w:r>
        <w:t xml:space="preserve"> Plano CNT de Transporte e Logística 2014. Brasília. CNT, 2014.</w:t>
      </w:r>
    </w:p>
  </w:footnote>
  <w:footnote w:id="8">
    <w:p w:rsidR="00033D16" w:rsidRDefault="00033D16">
      <w:pPr>
        <w:pStyle w:val="Textodenotaderodap"/>
      </w:pPr>
      <w:r>
        <w:rPr>
          <w:rStyle w:val="Refdenotaderodap"/>
        </w:rPr>
        <w:footnoteRef/>
      </w:r>
      <w:r>
        <w:t xml:space="preserve"> VLI investe R$ 500 milhões em três novos terminais integradores. Revista Ferroviária, Ed. Outubro/Novembro 2015.</w:t>
      </w:r>
    </w:p>
  </w:footnote>
  <w:footnote w:id="9">
    <w:p w:rsidR="002B54AB" w:rsidRDefault="002B54AB">
      <w:pPr>
        <w:pStyle w:val="Textodenotaderodap"/>
      </w:pPr>
      <w:r>
        <w:rPr>
          <w:rStyle w:val="Refdenotaderodap"/>
        </w:rPr>
        <w:footnoteRef/>
      </w:r>
      <w:r>
        <w:t xml:space="preserve"> Obras nas Ferrovias fora dos trilhos. Caderno Economia, O Globo, 07 de janeiro de 2016. </w:t>
      </w:r>
    </w:p>
  </w:footnote>
  <w:footnote w:id="10">
    <w:p w:rsidR="00033D16" w:rsidRDefault="00033D16" w:rsidP="00033D16">
      <w:pPr>
        <w:pStyle w:val="Textodenotaderodap"/>
      </w:pPr>
      <w:r>
        <w:rPr>
          <w:rStyle w:val="Refdenotaderodap"/>
        </w:rPr>
        <w:footnoteRef/>
      </w:r>
      <w:r>
        <w:t xml:space="preserve"> Editorial. Revista Ferroviária. Dez 2014/Jan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F2" w:rsidRDefault="00C570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C570F2" w:rsidRDefault="00C570F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F2" w:rsidRDefault="00C570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5393">
      <w:rPr>
        <w:rStyle w:val="Nmerodepgina"/>
        <w:noProof/>
      </w:rPr>
      <w:t>2</w:t>
    </w:r>
    <w:r>
      <w:rPr>
        <w:rStyle w:val="Nmerodepgina"/>
      </w:rPr>
      <w:fldChar w:fldCharType="end"/>
    </w:r>
  </w:p>
  <w:p w:rsidR="00C570F2" w:rsidRDefault="00C570F2" w:rsidP="00F056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64C6"/>
    <w:multiLevelType w:val="multilevel"/>
    <w:tmpl w:val="11E862B2"/>
    <w:lvl w:ilvl="0">
      <w:start w:val="1"/>
      <w:numFmt w:val="decimal"/>
      <w:pStyle w:val="05-PargrafoNumeradoQA-CLG"/>
      <w:lvlText w:val="%1."/>
      <w:lvlJc w:val="left"/>
      <w:pPr>
        <w:tabs>
          <w:tab w:val="num" w:pos="340"/>
        </w:tabs>
        <w:ind w:left="340" w:hanging="340"/>
      </w:pPr>
      <w:rPr>
        <w:rFonts w:hint="default"/>
      </w:rPr>
    </w:lvl>
    <w:lvl w:ilvl="1">
      <w:start w:val="1"/>
      <w:numFmt w:val="none"/>
      <w:lvlText w:val="1.1"/>
      <w:lvlJc w:val="left"/>
      <w:pPr>
        <w:tabs>
          <w:tab w:val="num" w:pos="90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7B7E56"/>
    <w:multiLevelType w:val="hybridMultilevel"/>
    <w:tmpl w:val="66DEBA48"/>
    <w:lvl w:ilvl="0" w:tplc="2E5E1A7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7496F88"/>
    <w:multiLevelType w:val="multilevel"/>
    <w:tmpl w:val="1870C5D0"/>
    <w:lvl w:ilvl="0">
      <w:start w:val="1"/>
      <w:numFmt w:val="lowerLetter"/>
      <w:lvlText w:val="%1)"/>
      <w:lvlJc w:val="left"/>
      <w:pPr>
        <w:tabs>
          <w:tab w:val="num" w:pos="340"/>
        </w:tabs>
        <w:ind w:left="340" w:hanging="340"/>
      </w:pPr>
      <w:rPr>
        <w:rFonts w:hint="default"/>
      </w:rPr>
    </w:lvl>
    <w:lvl w:ilvl="1">
      <w:start w:val="1"/>
      <w:numFmt w:val="none"/>
      <w:lvlText w:val="1.1"/>
      <w:lvlJc w:val="left"/>
      <w:pPr>
        <w:tabs>
          <w:tab w:val="num" w:pos="90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5D681C"/>
    <w:multiLevelType w:val="hybridMultilevel"/>
    <w:tmpl w:val="B428097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 w15:restartNumberingAfterBreak="0">
    <w:nsid w:val="2F3719D8"/>
    <w:multiLevelType w:val="hybridMultilevel"/>
    <w:tmpl w:val="3F122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27E1BB6"/>
    <w:multiLevelType w:val="multilevel"/>
    <w:tmpl w:val="9A2608FA"/>
    <w:lvl w:ilvl="0">
      <w:start w:val="1"/>
      <w:numFmt w:val="lowerLetter"/>
      <w:lvlText w:val="%1)"/>
      <w:lvlJc w:val="left"/>
      <w:pPr>
        <w:tabs>
          <w:tab w:val="num" w:pos="340"/>
        </w:tabs>
        <w:ind w:left="340" w:hanging="340"/>
      </w:pPr>
      <w:rPr>
        <w:rFonts w:hint="default"/>
      </w:rPr>
    </w:lvl>
    <w:lvl w:ilvl="1">
      <w:start w:val="1"/>
      <w:numFmt w:val="none"/>
      <w:lvlText w:val="1.1"/>
      <w:lvlJc w:val="left"/>
      <w:pPr>
        <w:tabs>
          <w:tab w:val="num" w:pos="90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B34A82"/>
    <w:multiLevelType w:val="hybridMultilevel"/>
    <w:tmpl w:val="4A8EB8C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15:restartNumberingAfterBreak="0">
    <w:nsid w:val="506168BB"/>
    <w:multiLevelType w:val="hybridMultilevel"/>
    <w:tmpl w:val="AF4CA8B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8" w15:restartNumberingAfterBreak="0">
    <w:nsid w:val="673937CC"/>
    <w:multiLevelType w:val="hybridMultilevel"/>
    <w:tmpl w:val="9A483D3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69C91B38"/>
    <w:multiLevelType w:val="hybridMultilevel"/>
    <w:tmpl w:val="99EEAD22"/>
    <w:lvl w:ilvl="0" w:tplc="C98A4FA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E741E47"/>
    <w:multiLevelType w:val="hybridMultilevel"/>
    <w:tmpl w:val="BDB2FC22"/>
    <w:lvl w:ilvl="0" w:tplc="7BD4E3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2"/>
  </w:num>
  <w:num w:numId="3">
    <w:abstractNumId w:val="5"/>
  </w:num>
  <w:num w:numId="4">
    <w:abstractNumId w:val="3"/>
  </w:num>
  <w:num w:numId="5">
    <w:abstractNumId w:val="4"/>
  </w:num>
  <w:num w:numId="6">
    <w:abstractNumId w:val="8"/>
  </w:num>
  <w:num w:numId="7">
    <w:abstractNumId w:val="7"/>
  </w:num>
  <w:num w:numId="8">
    <w:abstractNumId w:val="6"/>
  </w:num>
  <w:num w:numId="9">
    <w:abstractNumId w:val="9"/>
  </w:num>
  <w:num w:numId="10">
    <w:abstractNumId w:val="1"/>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pt-B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34"/>
    <w:rsid w:val="000004C3"/>
    <w:rsid w:val="00002B41"/>
    <w:rsid w:val="00002EFA"/>
    <w:rsid w:val="00003461"/>
    <w:rsid w:val="00003597"/>
    <w:rsid w:val="000042B4"/>
    <w:rsid w:val="00004D10"/>
    <w:rsid w:val="00005F1A"/>
    <w:rsid w:val="00006C40"/>
    <w:rsid w:val="000102FB"/>
    <w:rsid w:val="0001154A"/>
    <w:rsid w:val="000115D2"/>
    <w:rsid w:val="00011783"/>
    <w:rsid w:val="00014A9F"/>
    <w:rsid w:val="00015B10"/>
    <w:rsid w:val="00015F87"/>
    <w:rsid w:val="0001606F"/>
    <w:rsid w:val="00016EBC"/>
    <w:rsid w:val="00017990"/>
    <w:rsid w:val="000217EA"/>
    <w:rsid w:val="0002231D"/>
    <w:rsid w:val="000226CF"/>
    <w:rsid w:val="0002340E"/>
    <w:rsid w:val="00025FCC"/>
    <w:rsid w:val="000268C9"/>
    <w:rsid w:val="00026DD8"/>
    <w:rsid w:val="0002704E"/>
    <w:rsid w:val="00030718"/>
    <w:rsid w:val="00030DA6"/>
    <w:rsid w:val="00031B11"/>
    <w:rsid w:val="000330E2"/>
    <w:rsid w:val="000339ED"/>
    <w:rsid w:val="00033D16"/>
    <w:rsid w:val="00035184"/>
    <w:rsid w:val="00037982"/>
    <w:rsid w:val="000406D9"/>
    <w:rsid w:val="00043B5D"/>
    <w:rsid w:val="00045A2C"/>
    <w:rsid w:val="000476A7"/>
    <w:rsid w:val="00050C37"/>
    <w:rsid w:val="00050F75"/>
    <w:rsid w:val="00051F6E"/>
    <w:rsid w:val="00054451"/>
    <w:rsid w:val="00055B3C"/>
    <w:rsid w:val="00057A67"/>
    <w:rsid w:val="00060FD5"/>
    <w:rsid w:val="00061DCC"/>
    <w:rsid w:val="000629C9"/>
    <w:rsid w:val="000640F7"/>
    <w:rsid w:val="00066775"/>
    <w:rsid w:val="00066B85"/>
    <w:rsid w:val="00070A30"/>
    <w:rsid w:val="00074DDA"/>
    <w:rsid w:val="00075F9D"/>
    <w:rsid w:val="00077E9A"/>
    <w:rsid w:val="000806A4"/>
    <w:rsid w:val="00082848"/>
    <w:rsid w:val="00082A46"/>
    <w:rsid w:val="00084727"/>
    <w:rsid w:val="00085497"/>
    <w:rsid w:val="00086DB0"/>
    <w:rsid w:val="00090D16"/>
    <w:rsid w:val="00091E6A"/>
    <w:rsid w:val="0009323C"/>
    <w:rsid w:val="00095ECC"/>
    <w:rsid w:val="00097655"/>
    <w:rsid w:val="000A09DD"/>
    <w:rsid w:val="000A0BB7"/>
    <w:rsid w:val="000A21B5"/>
    <w:rsid w:val="000A38DD"/>
    <w:rsid w:val="000A3F89"/>
    <w:rsid w:val="000A4706"/>
    <w:rsid w:val="000A55AD"/>
    <w:rsid w:val="000A717D"/>
    <w:rsid w:val="000A7AF7"/>
    <w:rsid w:val="000B28D6"/>
    <w:rsid w:val="000B2E5C"/>
    <w:rsid w:val="000B30FF"/>
    <w:rsid w:val="000B37EF"/>
    <w:rsid w:val="000B38BB"/>
    <w:rsid w:val="000B3F5C"/>
    <w:rsid w:val="000B439C"/>
    <w:rsid w:val="000B500A"/>
    <w:rsid w:val="000B554A"/>
    <w:rsid w:val="000C0DEC"/>
    <w:rsid w:val="000C2155"/>
    <w:rsid w:val="000C485F"/>
    <w:rsid w:val="000C582D"/>
    <w:rsid w:val="000D0A01"/>
    <w:rsid w:val="000D1E2F"/>
    <w:rsid w:val="000D2A57"/>
    <w:rsid w:val="000D30A6"/>
    <w:rsid w:val="000D3EE2"/>
    <w:rsid w:val="000D55BF"/>
    <w:rsid w:val="000D574E"/>
    <w:rsid w:val="000D5920"/>
    <w:rsid w:val="000D5990"/>
    <w:rsid w:val="000D795A"/>
    <w:rsid w:val="000D7A2C"/>
    <w:rsid w:val="000E10B9"/>
    <w:rsid w:val="000E1D57"/>
    <w:rsid w:val="000E23C8"/>
    <w:rsid w:val="000E7308"/>
    <w:rsid w:val="000E77DF"/>
    <w:rsid w:val="000F46F6"/>
    <w:rsid w:val="001008A7"/>
    <w:rsid w:val="00100CF6"/>
    <w:rsid w:val="001016F5"/>
    <w:rsid w:val="00103067"/>
    <w:rsid w:val="00103F27"/>
    <w:rsid w:val="00105CA7"/>
    <w:rsid w:val="001123C1"/>
    <w:rsid w:val="00114108"/>
    <w:rsid w:val="00114F7D"/>
    <w:rsid w:val="00117B6F"/>
    <w:rsid w:val="0012282D"/>
    <w:rsid w:val="001238BE"/>
    <w:rsid w:val="00126EAE"/>
    <w:rsid w:val="001278CA"/>
    <w:rsid w:val="00127B69"/>
    <w:rsid w:val="0013086F"/>
    <w:rsid w:val="00130BB6"/>
    <w:rsid w:val="00131900"/>
    <w:rsid w:val="00132604"/>
    <w:rsid w:val="001328CA"/>
    <w:rsid w:val="00132E22"/>
    <w:rsid w:val="00140205"/>
    <w:rsid w:val="00140771"/>
    <w:rsid w:val="00140F1A"/>
    <w:rsid w:val="0014515A"/>
    <w:rsid w:val="00145197"/>
    <w:rsid w:val="00145C11"/>
    <w:rsid w:val="00151D67"/>
    <w:rsid w:val="00154759"/>
    <w:rsid w:val="0015561A"/>
    <w:rsid w:val="00155B2D"/>
    <w:rsid w:val="00155FA4"/>
    <w:rsid w:val="001575C1"/>
    <w:rsid w:val="00157D94"/>
    <w:rsid w:val="00160CE4"/>
    <w:rsid w:val="00161732"/>
    <w:rsid w:val="00163293"/>
    <w:rsid w:val="0016402D"/>
    <w:rsid w:val="0016535B"/>
    <w:rsid w:val="001659E1"/>
    <w:rsid w:val="00165A5E"/>
    <w:rsid w:val="00167DC5"/>
    <w:rsid w:val="00170405"/>
    <w:rsid w:val="001713D3"/>
    <w:rsid w:val="00171C91"/>
    <w:rsid w:val="00172810"/>
    <w:rsid w:val="00173CB6"/>
    <w:rsid w:val="00173DCB"/>
    <w:rsid w:val="00176EAE"/>
    <w:rsid w:val="00177147"/>
    <w:rsid w:val="00180C76"/>
    <w:rsid w:val="00181B81"/>
    <w:rsid w:val="001829A5"/>
    <w:rsid w:val="00183243"/>
    <w:rsid w:val="001837CC"/>
    <w:rsid w:val="00183CD3"/>
    <w:rsid w:val="00185CDD"/>
    <w:rsid w:val="00190106"/>
    <w:rsid w:val="001902B0"/>
    <w:rsid w:val="001928FB"/>
    <w:rsid w:val="00193B57"/>
    <w:rsid w:val="00194C40"/>
    <w:rsid w:val="00196F59"/>
    <w:rsid w:val="001970FE"/>
    <w:rsid w:val="001971D9"/>
    <w:rsid w:val="00197B7F"/>
    <w:rsid w:val="001A662E"/>
    <w:rsid w:val="001B02D6"/>
    <w:rsid w:val="001B1266"/>
    <w:rsid w:val="001B21D4"/>
    <w:rsid w:val="001B2382"/>
    <w:rsid w:val="001B2CE6"/>
    <w:rsid w:val="001B2CF1"/>
    <w:rsid w:val="001B2DCD"/>
    <w:rsid w:val="001B3354"/>
    <w:rsid w:val="001B4CB0"/>
    <w:rsid w:val="001B5B17"/>
    <w:rsid w:val="001B6022"/>
    <w:rsid w:val="001B7060"/>
    <w:rsid w:val="001B74F4"/>
    <w:rsid w:val="001C09FA"/>
    <w:rsid w:val="001C0B6C"/>
    <w:rsid w:val="001C1304"/>
    <w:rsid w:val="001C27B1"/>
    <w:rsid w:val="001C2E30"/>
    <w:rsid w:val="001C3DA2"/>
    <w:rsid w:val="001C3E5D"/>
    <w:rsid w:val="001C4A3D"/>
    <w:rsid w:val="001C4F23"/>
    <w:rsid w:val="001C5E41"/>
    <w:rsid w:val="001C6321"/>
    <w:rsid w:val="001C7731"/>
    <w:rsid w:val="001C7931"/>
    <w:rsid w:val="001D18ED"/>
    <w:rsid w:val="001D3B6D"/>
    <w:rsid w:val="001D6A6F"/>
    <w:rsid w:val="001E074B"/>
    <w:rsid w:val="001E0C76"/>
    <w:rsid w:val="001E1479"/>
    <w:rsid w:val="001E2042"/>
    <w:rsid w:val="001E2462"/>
    <w:rsid w:val="001E39D2"/>
    <w:rsid w:val="001E687D"/>
    <w:rsid w:val="001E6901"/>
    <w:rsid w:val="001E7C97"/>
    <w:rsid w:val="001F29A7"/>
    <w:rsid w:val="001F33F7"/>
    <w:rsid w:val="001F34E7"/>
    <w:rsid w:val="001F40E5"/>
    <w:rsid w:val="001F42AF"/>
    <w:rsid w:val="001F5BAC"/>
    <w:rsid w:val="0020035E"/>
    <w:rsid w:val="00200ECA"/>
    <w:rsid w:val="0020198B"/>
    <w:rsid w:val="00201BCA"/>
    <w:rsid w:val="00203F47"/>
    <w:rsid w:val="002041EC"/>
    <w:rsid w:val="002073D0"/>
    <w:rsid w:val="0020787C"/>
    <w:rsid w:val="002109B7"/>
    <w:rsid w:val="002118C9"/>
    <w:rsid w:val="00212D07"/>
    <w:rsid w:val="00213031"/>
    <w:rsid w:val="002141A5"/>
    <w:rsid w:val="00214ADE"/>
    <w:rsid w:val="002156A2"/>
    <w:rsid w:val="00216B61"/>
    <w:rsid w:val="002225DA"/>
    <w:rsid w:val="002228E7"/>
    <w:rsid w:val="00224CC3"/>
    <w:rsid w:val="002300F7"/>
    <w:rsid w:val="002326B1"/>
    <w:rsid w:val="0023313C"/>
    <w:rsid w:val="002333F2"/>
    <w:rsid w:val="0023393D"/>
    <w:rsid w:val="00233A17"/>
    <w:rsid w:val="00233B92"/>
    <w:rsid w:val="00233BB3"/>
    <w:rsid w:val="0023446F"/>
    <w:rsid w:val="0023725C"/>
    <w:rsid w:val="00237A15"/>
    <w:rsid w:val="00240B7D"/>
    <w:rsid w:val="0024205A"/>
    <w:rsid w:val="00242593"/>
    <w:rsid w:val="00244804"/>
    <w:rsid w:val="00244958"/>
    <w:rsid w:val="00245FCD"/>
    <w:rsid w:val="002465C2"/>
    <w:rsid w:val="00253CBB"/>
    <w:rsid w:val="00257006"/>
    <w:rsid w:val="002573F7"/>
    <w:rsid w:val="00257553"/>
    <w:rsid w:val="00260AE5"/>
    <w:rsid w:val="00261549"/>
    <w:rsid w:val="0026377E"/>
    <w:rsid w:val="00263A4A"/>
    <w:rsid w:val="002641E9"/>
    <w:rsid w:val="0026790A"/>
    <w:rsid w:val="00267AB1"/>
    <w:rsid w:val="00271460"/>
    <w:rsid w:val="002740BA"/>
    <w:rsid w:val="00274E08"/>
    <w:rsid w:val="00276443"/>
    <w:rsid w:val="00277188"/>
    <w:rsid w:val="00280422"/>
    <w:rsid w:val="00280E35"/>
    <w:rsid w:val="00281B78"/>
    <w:rsid w:val="002847AF"/>
    <w:rsid w:val="00284CC9"/>
    <w:rsid w:val="00285343"/>
    <w:rsid w:val="00285983"/>
    <w:rsid w:val="00286515"/>
    <w:rsid w:val="00287C6F"/>
    <w:rsid w:val="002903BA"/>
    <w:rsid w:val="002906B4"/>
    <w:rsid w:val="00294E78"/>
    <w:rsid w:val="002955DE"/>
    <w:rsid w:val="002A05AD"/>
    <w:rsid w:val="002A0865"/>
    <w:rsid w:val="002A1DBD"/>
    <w:rsid w:val="002A4D83"/>
    <w:rsid w:val="002B0668"/>
    <w:rsid w:val="002B06EA"/>
    <w:rsid w:val="002B188F"/>
    <w:rsid w:val="002B1DC5"/>
    <w:rsid w:val="002B2430"/>
    <w:rsid w:val="002B54AB"/>
    <w:rsid w:val="002B73E2"/>
    <w:rsid w:val="002B76E7"/>
    <w:rsid w:val="002B7B0C"/>
    <w:rsid w:val="002C03AA"/>
    <w:rsid w:val="002C044E"/>
    <w:rsid w:val="002C1DD9"/>
    <w:rsid w:val="002C1EDD"/>
    <w:rsid w:val="002C62BA"/>
    <w:rsid w:val="002C68FB"/>
    <w:rsid w:val="002C70BD"/>
    <w:rsid w:val="002C78D0"/>
    <w:rsid w:val="002D1158"/>
    <w:rsid w:val="002D1E14"/>
    <w:rsid w:val="002D217E"/>
    <w:rsid w:val="002D4AEB"/>
    <w:rsid w:val="002E0008"/>
    <w:rsid w:val="002F0F48"/>
    <w:rsid w:val="002F0F75"/>
    <w:rsid w:val="002F1EFD"/>
    <w:rsid w:val="002F251B"/>
    <w:rsid w:val="002F281F"/>
    <w:rsid w:val="002F318C"/>
    <w:rsid w:val="002F3B95"/>
    <w:rsid w:val="00300B19"/>
    <w:rsid w:val="00301694"/>
    <w:rsid w:val="00302002"/>
    <w:rsid w:val="0030238B"/>
    <w:rsid w:val="00302599"/>
    <w:rsid w:val="003025A7"/>
    <w:rsid w:val="00305715"/>
    <w:rsid w:val="00306390"/>
    <w:rsid w:val="00306A79"/>
    <w:rsid w:val="00312447"/>
    <w:rsid w:val="003126B3"/>
    <w:rsid w:val="0031332A"/>
    <w:rsid w:val="00313699"/>
    <w:rsid w:val="00315F08"/>
    <w:rsid w:val="00320586"/>
    <w:rsid w:val="003207E5"/>
    <w:rsid w:val="003236D8"/>
    <w:rsid w:val="00323DDD"/>
    <w:rsid w:val="00323E4F"/>
    <w:rsid w:val="003253CA"/>
    <w:rsid w:val="00325A9E"/>
    <w:rsid w:val="00325D34"/>
    <w:rsid w:val="00326973"/>
    <w:rsid w:val="0032795A"/>
    <w:rsid w:val="003308B7"/>
    <w:rsid w:val="00332821"/>
    <w:rsid w:val="00333553"/>
    <w:rsid w:val="00333DCC"/>
    <w:rsid w:val="00334CD9"/>
    <w:rsid w:val="003402C6"/>
    <w:rsid w:val="00340905"/>
    <w:rsid w:val="00340F9A"/>
    <w:rsid w:val="003422FB"/>
    <w:rsid w:val="00344599"/>
    <w:rsid w:val="003452AB"/>
    <w:rsid w:val="00345377"/>
    <w:rsid w:val="00345EB8"/>
    <w:rsid w:val="00346389"/>
    <w:rsid w:val="00351229"/>
    <w:rsid w:val="0035243C"/>
    <w:rsid w:val="00353628"/>
    <w:rsid w:val="00353D6A"/>
    <w:rsid w:val="00355685"/>
    <w:rsid w:val="00355687"/>
    <w:rsid w:val="003568EA"/>
    <w:rsid w:val="00357AE8"/>
    <w:rsid w:val="00360129"/>
    <w:rsid w:val="0036032D"/>
    <w:rsid w:val="0036166D"/>
    <w:rsid w:val="00363358"/>
    <w:rsid w:val="00367534"/>
    <w:rsid w:val="0036795B"/>
    <w:rsid w:val="003724D7"/>
    <w:rsid w:val="003752D9"/>
    <w:rsid w:val="003756CC"/>
    <w:rsid w:val="00377460"/>
    <w:rsid w:val="0037750F"/>
    <w:rsid w:val="003809AE"/>
    <w:rsid w:val="00381347"/>
    <w:rsid w:val="00384C7A"/>
    <w:rsid w:val="00384CE8"/>
    <w:rsid w:val="0038638A"/>
    <w:rsid w:val="003867C2"/>
    <w:rsid w:val="00390539"/>
    <w:rsid w:val="003925CD"/>
    <w:rsid w:val="0039399B"/>
    <w:rsid w:val="00395AB8"/>
    <w:rsid w:val="00397C6B"/>
    <w:rsid w:val="003A030C"/>
    <w:rsid w:val="003A3C24"/>
    <w:rsid w:val="003A60A4"/>
    <w:rsid w:val="003B06E8"/>
    <w:rsid w:val="003B2DB3"/>
    <w:rsid w:val="003B3DCA"/>
    <w:rsid w:val="003B63BF"/>
    <w:rsid w:val="003B6A79"/>
    <w:rsid w:val="003B7C47"/>
    <w:rsid w:val="003B7CA9"/>
    <w:rsid w:val="003C1DE3"/>
    <w:rsid w:val="003C22C6"/>
    <w:rsid w:val="003C2F63"/>
    <w:rsid w:val="003C351E"/>
    <w:rsid w:val="003C4DF2"/>
    <w:rsid w:val="003C70BB"/>
    <w:rsid w:val="003D08A6"/>
    <w:rsid w:val="003D18EB"/>
    <w:rsid w:val="003D197B"/>
    <w:rsid w:val="003D1B7A"/>
    <w:rsid w:val="003D2A7E"/>
    <w:rsid w:val="003D4F9B"/>
    <w:rsid w:val="003D6F6C"/>
    <w:rsid w:val="003D6FCD"/>
    <w:rsid w:val="003D71E1"/>
    <w:rsid w:val="003D75A3"/>
    <w:rsid w:val="003D76B5"/>
    <w:rsid w:val="003E0E6D"/>
    <w:rsid w:val="003E113F"/>
    <w:rsid w:val="003E19DC"/>
    <w:rsid w:val="003E1CA7"/>
    <w:rsid w:val="003E4A81"/>
    <w:rsid w:val="003E5C9F"/>
    <w:rsid w:val="003F0DB9"/>
    <w:rsid w:val="003F146E"/>
    <w:rsid w:val="003F2A25"/>
    <w:rsid w:val="003F2B17"/>
    <w:rsid w:val="003F38DB"/>
    <w:rsid w:val="00400654"/>
    <w:rsid w:val="0040145A"/>
    <w:rsid w:val="0040481F"/>
    <w:rsid w:val="00405619"/>
    <w:rsid w:val="00410E35"/>
    <w:rsid w:val="00412692"/>
    <w:rsid w:val="00412981"/>
    <w:rsid w:val="0041340F"/>
    <w:rsid w:val="004138DA"/>
    <w:rsid w:val="00413D29"/>
    <w:rsid w:val="004145C8"/>
    <w:rsid w:val="004175AF"/>
    <w:rsid w:val="0042111F"/>
    <w:rsid w:val="004265D1"/>
    <w:rsid w:val="00426630"/>
    <w:rsid w:val="00427EAF"/>
    <w:rsid w:val="0043083B"/>
    <w:rsid w:val="00430F16"/>
    <w:rsid w:val="00431AD0"/>
    <w:rsid w:val="00435D86"/>
    <w:rsid w:val="0043679A"/>
    <w:rsid w:val="00437B02"/>
    <w:rsid w:val="00441761"/>
    <w:rsid w:val="004418F7"/>
    <w:rsid w:val="004426F6"/>
    <w:rsid w:val="00442C49"/>
    <w:rsid w:val="00442E6D"/>
    <w:rsid w:val="0044475E"/>
    <w:rsid w:val="0044726A"/>
    <w:rsid w:val="004507A6"/>
    <w:rsid w:val="00451849"/>
    <w:rsid w:val="00455124"/>
    <w:rsid w:val="004555EC"/>
    <w:rsid w:val="0045669E"/>
    <w:rsid w:val="00461051"/>
    <w:rsid w:val="004610FE"/>
    <w:rsid w:val="00462809"/>
    <w:rsid w:val="00462FEC"/>
    <w:rsid w:val="00463E96"/>
    <w:rsid w:val="00463FB6"/>
    <w:rsid w:val="0046500B"/>
    <w:rsid w:val="0046717D"/>
    <w:rsid w:val="00470BC1"/>
    <w:rsid w:val="00472F6D"/>
    <w:rsid w:val="0047461B"/>
    <w:rsid w:val="00475560"/>
    <w:rsid w:val="004758F4"/>
    <w:rsid w:val="0048166A"/>
    <w:rsid w:val="00481DE4"/>
    <w:rsid w:val="00485343"/>
    <w:rsid w:val="004864CB"/>
    <w:rsid w:val="004874F0"/>
    <w:rsid w:val="0049036F"/>
    <w:rsid w:val="00490BEC"/>
    <w:rsid w:val="004911E2"/>
    <w:rsid w:val="00491C11"/>
    <w:rsid w:val="0049219C"/>
    <w:rsid w:val="0049259A"/>
    <w:rsid w:val="004937DC"/>
    <w:rsid w:val="00493989"/>
    <w:rsid w:val="00493F3D"/>
    <w:rsid w:val="00494B96"/>
    <w:rsid w:val="0049505E"/>
    <w:rsid w:val="0049647B"/>
    <w:rsid w:val="00497581"/>
    <w:rsid w:val="004A005C"/>
    <w:rsid w:val="004A2AE8"/>
    <w:rsid w:val="004A3EEF"/>
    <w:rsid w:val="004A4284"/>
    <w:rsid w:val="004A4D6A"/>
    <w:rsid w:val="004A5373"/>
    <w:rsid w:val="004A7C5A"/>
    <w:rsid w:val="004B19E2"/>
    <w:rsid w:val="004B3E1D"/>
    <w:rsid w:val="004B4EA8"/>
    <w:rsid w:val="004B61FC"/>
    <w:rsid w:val="004B7363"/>
    <w:rsid w:val="004B7605"/>
    <w:rsid w:val="004C00BD"/>
    <w:rsid w:val="004C0909"/>
    <w:rsid w:val="004C3AC9"/>
    <w:rsid w:val="004C3B3B"/>
    <w:rsid w:val="004C3BEA"/>
    <w:rsid w:val="004C417A"/>
    <w:rsid w:val="004C52AA"/>
    <w:rsid w:val="004C63DF"/>
    <w:rsid w:val="004C7817"/>
    <w:rsid w:val="004D1A3D"/>
    <w:rsid w:val="004D1C09"/>
    <w:rsid w:val="004D4770"/>
    <w:rsid w:val="004D485F"/>
    <w:rsid w:val="004D5121"/>
    <w:rsid w:val="004E005C"/>
    <w:rsid w:val="004E2558"/>
    <w:rsid w:val="004E3A32"/>
    <w:rsid w:val="004E510D"/>
    <w:rsid w:val="004E54EA"/>
    <w:rsid w:val="004E580E"/>
    <w:rsid w:val="004E6989"/>
    <w:rsid w:val="004E7AD1"/>
    <w:rsid w:val="004F0158"/>
    <w:rsid w:val="004F0504"/>
    <w:rsid w:val="004F0C9D"/>
    <w:rsid w:val="004F16D8"/>
    <w:rsid w:val="004F1F07"/>
    <w:rsid w:val="004F2D91"/>
    <w:rsid w:val="004F2F2F"/>
    <w:rsid w:val="004F4E5B"/>
    <w:rsid w:val="004F6365"/>
    <w:rsid w:val="00500978"/>
    <w:rsid w:val="00500DA0"/>
    <w:rsid w:val="005030B1"/>
    <w:rsid w:val="00503543"/>
    <w:rsid w:val="00503710"/>
    <w:rsid w:val="0050473E"/>
    <w:rsid w:val="0050671B"/>
    <w:rsid w:val="005077F0"/>
    <w:rsid w:val="005106A2"/>
    <w:rsid w:val="00514249"/>
    <w:rsid w:val="0051478B"/>
    <w:rsid w:val="00520381"/>
    <w:rsid w:val="00521E4A"/>
    <w:rsid w:val="00522B5B"/>
    <w:rsid w:val="005232E0"/>
    <w:rsid w:val="005249B2"/>
    <w:rsid w:val="005250A4"/>
    <w:rsid w:val="0052529E"/>
    <w:rsid w:val="00530F70"/>
    <w:rsid w:val="00531143"/>
    <w:rsid w:val="005337D1"/>
    <w:rsid w:val="00533B1F"/>
    <w:rsid w:val="00535516"/>
    <w:rsid w:val="00535C80"/>
    <w:rsid w:val="00536C7C"/>
    <w:rsid w:val="00537308"/>
    <w:rsid w:val="00537626"/>
    <w:rsid w:val="00537B19"/>
    <w:rsid w:val="005402D2"/>
    <w:rsid w:val="0054036C"/>
    <w:rsid w:val="0054124C"/>
    <w:rsid w:val="00542A71"/>
    <w:rsid w:val="00542CEC"/>
    <w:rsid w:val="00542F9C"/>
    <w:rsid w:val="00542FC8"/>
    <w:rsid w:val="00544458"/>
    <w:rsid w:val="00547501"/>
    <w:rsid w:val="005501AD"/>
    <w:rsid w:val="00552438"/>
    <w:rsid w:val="0055326F"/>
    <w:rsid w:val="005533C9"/>
    <w:rsid w:val="00553BF0"/>
    <w:rsid w:val="005557B2"/>
    <w:rsid w:val="00556A37"/>
    <w:rsid w:val="00557A1C"/>
    <w:rsid w:val="00560224"/>
    <w:rsid w:val="00561077"/>
    <w:rsid w:val="00561703"/>
    <w:rsid w:val="00562648"/>
    <w:rsid w:val="005648BF"/>
    <w:rsid w:val="00564F72"/>
    <w:rsid w:val="00565A63"/>
    <w:rsid w:val="00565FD7"/>
    <w:rsid w:val="00566DA6"/>
    <w:rsid w:val="005673E7"/>
    <w:rsid w:val="005675F7"/>
    <w:rsid w:val="0056780F"/>
    <w:rsid w:val="0057084D"/>
    <w:rsid w:val="00573687"/>
    <w:rsid w:val="00574202"/>
    <w:rsid w:val="0057687E"/>
    <w:rsid w:val="0058177E"/>
    <w:rsid w:val="00581B53"/>
    <w:rsid w:val="00582804"/>
    <w:rsid w:val="00585941"/>
    <w:rsid w:val="00585AED"/>
    <w:rsid w:val="005912B7"/>
    <w:rsid w:val="00592A4D"/>
    <w:rsid w:val="005A0BC1"/>
    <w:rsid w:val="005A1B88"/>
    <w:rsid w:val="005A3246"/>
    <w:rsid w:val="005A3B4C"/>
    <w:rsid w:val="005A446A"/>
    <w:rsid w:val="005A56B3"/>
    <w:rsid w:val="005A5F1B"/>
    <w:rsid w:val="005A6BFE"/>
    <w:rsid w:val="005A782B"/>
    <w:rsid w:val="005A7C72"/>
    <w:rsid w:val="005A7FB2"/>
    <w:rsid w:val="005B13FD"/>
    <w:rsid w:val="005B17C9"/>
    <w:rsid w:val="005B39FD"/>
    <w:rsid w:val="005B5EED"/>
    <w:rsid w:val="005B665F"/>
    <w:rsid w:val="005B666B"/>
    <w:rsid w:val="005C3BD5"/>
    <w:rsid w:val="005C79A4"/>
    <w:rsid w:val="005D0C24"/>
    <w:rsid w:val="005D4736"/>
    <w:rsid w:val="005D519B"/>
    <w:rsid w:val="005D6B9B"/>
    <w:rsid w:val="005E2B7A"/>
    <w:rsid w:val="005E43B5"/>
    <w:rsid w:val="005E463A"/>
    <w:rsid w:val="005E5D59"/>
    <w:rsid w:val="005E6FEF"/>
    <w:rsid w:val="005F4F83"/>
    <w:rsid w:val="005F5B7D"/>
    <w:rsid w:val="005F5EC1"/>
    <w:rsid w:val="00600D08"/>
    <w:rsid w:val="006033F7"/>
    <w:rsid w:val="00603C75"/>
    <w:rsid w:val="00606640"/>
    <w:rsid w:val="00607A57"/>
    <w:rsid w:val="00607CE2"/>
    <w:rsid w:val="006128B4"/>
    <w:rsid w:val="0061294D"/>
    <w:rsid w:val="00613A11"/>
    <w:rsid w:val="00616348"/>
    <w:rsid w:val="0062668B"/>
    <w:rsid w:val="00626B91"/>
    <w:rsid w:val="006273E5"/>
    <w:rsid w:val="00627960"/>
    <w:rsid w:val="00627FBC"/>
    <w:rsid w:val="006308D6"/>
    <w:rsid w:val="00630924"/>
    <w:rsid w:val="00630E29"/>
    <w:rsid w:val="00631450"/>
    <w:rsid w:val="00632FFD"/>
    <w:rsid w:val="006340AB"/>
    <w:rsid w:val="00635EC7"/>
    <w:rsid w:val="00636A5E"/>
    <w:rsid w:val="0064084B"/>
    <w:rsid w:val="00640C7C"/>
    <w:rsid w:val="00641E16"/>
    <w:rsid w:val="00644D4D"/>
    <w:rsid w:val="00645826"/>
    <w:rsid w:val="006459AD"/>
    <w:rsid w:val="006464DA"/>
    <w:rsid w:val="0064732E"/>
    <w:rsid w:val="006501EC"/>
    <w:rsid w:val="006518CF"/>
    <w:rsid w:val="0065320C"/>
    <w:rsid w:val="006545CE"/>
    <w:rsid w:val="00655020"/>
    <w:rsid w:val="00656FF2"/>
    <w:rsid w:val="0065740D"/>
    <w:rsid w:val="006618F7"/>
    <w:rsid w:val="0066200E"/>
    <w:rsid w:val="006638A4"/>
    <w:rsid w:val="006638E9"/>
    <w:rsid w:val="006643FB"/>
    <w:rsid w:val="006660C0"/>
    <w:rsid w:val="0067153A"/>
    <w:rsid w:val="00672497"/>
    <w:rsid w:val="0067427F"/>
    <w:rsid w:val="00677DCA"/>
    <w:rsid w:val="0068193C"/>
    <w:rsid w:val="00681A2A"/>
    <w:rsid w:val="006841CB"/>
    <w:rsid w:val="00684669"/>
    <w:rsid w:val="00685559"/>
    <w:rsid w:val="00687EAD"/>
    <w:rsid w:val="00691746"/>
    <w:rsid w:val="00692774"/>
    <w:rsid w:val="00693B7F"/>
    <w:rsid w:val="00693EC0"/>
    <w:rsid w:val="006953F3"/>
    <w:rsid w:val="00695CC8"/>
    <w:rsid w:val="00695FD0"/>
    <w:rsid w:val="006A0012"/>
    <w:rsid w:val="006A0B6F"/>
    <w:rsid w:val="006A3DDE"/>
    <w:rsid w:val="006A4B2D"/>
    <w:rsid w:val="006A4DCE"/>
    <w:rsid w:val="006A5E31"/>
    <w:rsid w:val="006A5FE1"/>
    <w:rsid w:val="006A6599"/>
    <w:rsid w:val="006A6C71"/>
    <w:rsid w:val="006A7B70"/>
    <w:rsid w:val="006B189A"/>
    <w:rsid w:val="006B22F5"/>
    <w:rsid w:val="006B29D1"/>
    <w:rsid w:val="006B486A"/>
    <w:rsid w:val="006B7316"/>
    <w:rsid w:val="006C0221"/>
    <w:rsid w:val="006C09E4"/>
    <w:rsid w:val="006C1210"/>
    <w:rsid w:val="006C1F15"/>
    <w:rsid w:val="006C3DA4"/>
    <w:rsid w:val="006C4330"/>
    <w:rsid w:val="006C4DAB"/>
    <w:rsid w:val="006D040D"/>
    <w:rsid w:val="006D16F1"/>
    <w:rsid w:val="006D2989"/>
    <w:rsid w:val="006D3EFB"/>
    <w:rsid w:val="006D7D00"/>
    <w:rsid w:val="006E0EA3"/>
    <w:rsid w:val="006E1069"/>
    <w:rsid w:val="006E39DC"/>
    <w:rsid w:val="006E57D6"/>
    <w:rsid w:val="006E7C68"/>
    <w:rsid w:val="006F0B4C"/>
    <w:rsid w:val="006F1489"/>
    <w:rsid w:val="006F4527"/>
    <w:rsid w:val="006F7CF1"/>
    <w:rsid w:val="00700016"/>
    <w:rsid w:val="007026C2"/>
    <w:rsid w:val="0070350C"/>
    <w:rsid w:val="00703F4C"/>
    <w:rsid w:val="00704097"/>
    <w:rsid w:val="00704656"/>
    <w:rsid w:val="00705E65"/>
    <w:rsid w:val="007079F8"/>
    <w:rsid w:val="00713BA8"/>
    <w:rsid w:val="00713CF4"/>
    <w:rsid w:val="00714A66"/>
    <w:rsid w:val="00714F66"/>
    <w:rsid w:val="007157CB"/>
    <w:rsid w:val="00715E40"/>
    <w:rsid w:val="00716732"/>
    <w:rsid w:val="00722406"/>
    <w:rsid w:val="00722869"/>
    <w:rsid w:val="00722FD7"/>
    <w:rsid w:val="00723614"/>
    <w:rsid w:val="007239B7"/>
    <w:rsid w:val="00724F27"/>
    <w:rsid w:val="00725703"/>
    <w:rsid w:val="00726CCC"/>
    <w:rsid w:val="00726CDE"/>
    <w:rsid w:val="007275F9"/>
    <w:rsid w:val="00730E11"/>
    <w:rsid w:val="00730F20"/>
    <w:rsid w:val="00731148"/>
    <w:rsid w:val="00732253"/>
    <w:rsid w:val="00732C98"/>
    <w:rsid w:val="00732D44"/>
    <w:rsid w:val="0073319C"/>
    <w:rsid w:val="00733364"/>
    <w:rsid w:val="007336AB"/>
    <w:rsid w:val="00734CDB"/>
    <w:rsid w:val="00735F06"/>
    <w:rsid w:val="007400D1"/>
    <w:rsid w:val="00740E60"/>
    <w:rsid w:val="00741C51"/>
    <w:rsid w:val="007425AF"/>
    <w:rsid w:val="00745855"/>
    <w:rsid w:val="00746644"/>
    <w:rsid w:val="007525FF"/>
    <w:rsid w:val="00752A2E"/>
    <w:rsid w:val="00753D9B"/>
    <w:rsid w:val="00754295"/>
    <w:rsid w:val="00754979"/>
    <w:rsid w:val="007554FD"/>
    <w:rsid w:val="0075651C"/>
    <w:rsid w:val="007568EF"/>
    <w:rsid w:val="00757024"/>
    <w:rsid w:val="0075734A"/>
    <w:rsid w:val="00760685"/>
    <w:rsid w:val="007611A1"/>
    <w:rsid w:val="007617B4"/>
    <w:rsid w:val="007736C4"/>
    <w:rsid w:val="0077531E"/>
    <w:rsid w:val="00780B83"/>
    <w:rsid w:val="007823A9"/>
    <w:rsid w:val="00782AE8"/>
    <w:rsid w:val="00783C24"/>
    <w:rsid w:val="007856D9"/>
    <w:rsid w:val="00785A2A"/>
    <w:rsid w:val="00786736"/>
    <w:rsid w:val="00786A6D"/>
    <w:rsid w:val="00790A70"/>
    <w:rsid w:val="00790CD4"/>
    <w:rsid w:val="0079158D"/>
    <w:rsid w:val="00792FC4"/>
    <w:rsid w:val="0079321E"/>
    <w:rsid w:val="007946D1"/>
    <w:rsid w:val="007952C7"/>
    <w:rsid w:val="007954E0"/>
    <w:rsid w:val="00796E04"/>
    <w:rsid w:val="007A131C"/>
    <w:rsid w:val="007A6AFA"/>
    <w:rsid w:val="007B0A0C"/>
    <w:rsid w:val="007B1C68"/>
    <w:rsid w:val="007B20E5"/>
    <w:rsid w:val="007B3DFC"/>
    <w:rsid w:val="007C4304"/>
    <w:rsid w:val="007C5B66"/>
    <w:rsid w:val="007D00CD"/>
    <w:rsid w:val="007D1473"/>
    <w:rsid w:val="007D1C53"/>
    <w:rsid w:val="007D20C6"/>
    <w:rsid w:val="007D3C29"/>
    <w:rsid w:val="007D3ED4"/>
    <w:rsid w:val="007D4643"/>
    <w:rsid w:val="007D55F4"/>
    <w:rsid w:val="007D5602"/>
    <w:rsid w:val="007D6E26"/>
    <w:rsid w:val="007D718F"/>
    <w:rsid w:val="007E059D"/>
    <w:rsid w:val="007E0E20"/>
    <w:rsid w:val="007E12E6"/>
    <w:rsid w:val="007E2568"/>
    <w:rsid w:val="007E529E"/>
    <w:rsid w:val="007E5715"/>
    <w:rsid w:val="007F1067"/>
    <w:rsid w:val="007F19FE"/>
    <w:rsid w:val="007F21B6"/>
    <w:rsid w:val="007F36A0"/>
    <w:rsid w:val="007F6733"/>
    <w:rsid w:val="007F73DB"/>
    <w:rsid w:val="00800B05"/>
    <w:rsid w:val="00801BDD"/>
    <w:rsid w:val="00801E2B"/>
    <w:rsid w:val="00802119"/>
    <w:rsid w:val="00802B4D"/>
    <w:rsid w:val="00803169"/>
    <w:rsid w:val="008101F6"/>
    <w:rsid w:val="008119E5"/>
    <w:rsid w:val="00811E32"/>
    <w:rsid w:val="0081288B"/>
    <w:rsid w:val="00812B4D"/>
    <w:rsid w:val="00814301"/>
    <w:rsid w:val="00815BA8"/>
    <w:rsid w:val="00816CFC"/>
    <w:rsid w:val="008171AF"/>
    <w:rsid w:val="00820BEC"/>
    <w:rsid w:val="00820D4F"/>
    <w:rsid w:val="00821AF5"/>
    <w:rsid w:val="00821E84"/>
    <w:rsid w:val="008255B5"/>
    <w:rsid w:val="00827ACA"/>
    <w:rsid w:val="00827E3D"/>
    <w:rsid w:val="00831B24"/>
    <w:rsid w:val="00832EFE"/>
    <w:rsid w:val="0083328F"/>
    <w:rsid w:val="00835816"/>
    <w:rsid w:val="0083682D"/>
    <w:rsid w:val="00836EAA"/>
    <w:rsid w:val="0084125C"/>
    <w:rsid w:val="0084274B"/>
    <w:rsid w:val="00842942"/>
    <w:rsid w:val="008433FA"/>
    <w:rsid w:val="00844DEB"/>
    <w:rsid w:val="00846DFB"/>
    <w:rsid w:val="00846FE4"/>
    <w:rsid w:val="0084720B"/>
    <w:rsid w:val="00851D86"/>
    <w:rsid w:val="00853220"/>
    <w:rsid w:val="008538FD"/>
    <w:rsid w:val="00854AE1"/>
    <w:rsid w:val="0085682C"/>
    <w:rsid w:val="00856D20"/>
    <w:rsid w:val="00860B19"/>
    <w:rsid w:val="00865F28"/>
    <w:rsid w:val="00866D60"/>
    <w:rsid w:val="00867B23"/>
    <w:rsid w:val="00870E5E"/>
    <w:rsid w:val="008710EC"/>
    <w:rsid w:val="00872B5E"/>
    <w:rsid w:val="008738C3"/>
    <w:rsid w:val="00873B96"/>
    <w:rsid w:val="00876E2E"/>
    <w:rsid w:val="008804E7"/>
    <w:rsid w:val="00880D58"/>
    <w:rsid w:val="008810B6"/>
    <w:rsid w:val="00882C3A"/>
    <w:rsid w:val="008839D8"/>
    <w:rsid w:val="008878BC"/>
    <w:rsid w:val="00890BEF"/>
    <w:rsid w:val="008916F8"/>
    <w:rsid w:val="00892C0B"/>
    <w:rsid w:val="00892CF4"/>
    <w:rsid w:val="008939E0"/>
    <w:rsid w:val="00894B18"/>
    <w:rsid w:val="00897607"/>
    <w:rsid w:val="008A0F4F"/>
    <w:rsid w:val="008A710B"/>
    <w:rsid w:val="008B15EE"/>
    <w:rsid w:val="008B2025"/>
    <w:rsid w:val="008B4BE1"/>
    <w:rsid w:val="008B4EA0"/>
    <w:rsid w:val="008B501C"/>
    <w:rsid w:val="008B5327"/>
    <w:rsid w:val="008B5568"/>
    <w:rsid w:val="008B7A39"/>
    <w:rsid w:val="008C0F1C"/>
    <w:rsid w:val="008C299E"/>
    <w:rsid w:val="008C40A3"/>
    <w:rsid w:val="008C4497"/>
    <w:rsid w:val="008C521D"/>
    <w:rsid w:val="008C5362"/>
    <w:rsid w:val="008C54B4"/>
    <w:rsid w:val="008C6088"/>
    <w:rsid w:val="008C62BE"/>
    <w:rsid w:val="008C6571"/>
    <w:rsid w:val="008C7317"/>
    <w:rsid w:val="008C7A37"/>
    <w:rsid w:val="008C7DB5"/>
    <w:rsid w:val="008D0033"/>
    <w:rsid w:val="008D0224"/>
    <w:rsid w:val="008D0CA5"/>
    <w:rsid w:val="008D2ED5"/>
    <w:rsid w:val="008D3711"/>
    <w:rsid w:val="008D404C"/>
    <w:rsid w:val="008D4F8A"/>
    <w:rsid w:val="008D520E"/>
    <w:rsid w:val="008D53AF"/>
    <w:rsid w:val="008D5A1F"/>
    <w:rsid w:val="008D6B8F"/>
    <w:rsid w:val="008D776D"/>
    <w:rsid w:val="008E0D2C"/>
    <w:rsid w:val="008E1546"/>
    <w:rsid w:val="008E29A3"/>
    <w:rsid w:val="008E4382"/>
    <w:rsid w:val="008E460E"/>
    <w:rsid w:val="008E49DA"/>
    <w:rsid w:val="008E6224"/>
    <w:rsid w:val="008F1D8D"/>
    <w:rsid w:val="008F24B9"/>
    <w:rsid w:val="008F298D"/>
    <w:rsid w:val="008F3F57"/>
    <w:rsid w:val="008F5ECA"/>
    <w:rsid w:val="008F6E8E"/>
    <w:rsid w:val="008F7482"/>
    <w:rsid w:val="00903833"/>
    <w:rsid w:val="00905CBF"/>
    <w:rsid w:val="009124CB"/>
    <w:rsid w:val="00915968"/>
    <w:rsid w:val="00916886"/>
    <w:rsid w:val="00916BA1"/>
    <w:rsid w:val="009177DD"/>
    <w:rsid w:val="00920505"/>
    <w:rsid w:val="00920BAF"/>
    <w:rsid w:val="009215AC"/>
    <w:rsid w:val="0092267D"/>
    <w:rsid w:val="009242E3"/>
    <w:rsid w:val="00924984"/>
    <w:rsid w:val="00925E40"/>
    <w:rsid w:val="00926128"/>
    <w:rsid w:val="00927B78"/>
    <w:rsid w:val="00930031"/>
    <w:rsid w:val="00932180"/>
    <w:rsid w:val="00933EED"/>
    <w:rsid w:val="00934527"/>
    <w:rsid w:val="0093486A"/>
    <w:rsid w:val="00934A4A"/>
    <w:rsid w:val="00941E9A"/>
    <w:rsid w:val="00942EA7"/>
    <w:rsid w:val="00944F6F"/>
    <w:rsid w:val="00945965"/>
    <w:rsid w:val="00945CB9"/>
    <w:rsid w:val="00951F53"/>
    <w:rsid w:val="00952132"/>
    <w:rsid w:val="00953A2F"/>
    <w:rsid w:val="009546C9"/>
    <w:rsid w:val="00955092"/>
    <w:rsid w:val="00955A14"/>
    <w:rsid w:val="00960A11"/>
    <w:rsid w:val="009619E7"/>
    <w:rsid w:val="0096326B"/>
    <w:rsid w:val="0096351A"/>
    <w:rsid w:val="00963589"/>
    <w:rsid w:val="009636B7"/>
    <w:rsid w:val="00964955"/>
    <w:rsid w:val="0096525B"/>
    <w:rsid w:val="00965F30"/>
    <w:rsid w:val="00970E8D"/>
    <w:rsid w:val="0097203F"/>
    <w:rsid w:val="0097221C"/>
    <w:rsid w:val="00972B47"/>
    <w:rsid w:val="00974AC4"/>
    <w:rsid w:val="00981275"/>
    <w:rsid w:val="00981A43"/>
    <w:rsid w:val="00984F6B"/>
    <w:rsid w:val="0098575C"/>
    <w:rsid w:val="00991136"/>
    <w:rsid w:val="00991F51"/>
    <w:rsid w:val="0099464E"/>
    <w:rsid w:val="009948AA"/>
    <w:rsid w:val="00995515"/>
    <w:rsid w:val="00995CC1"/>
    <w:rsid w:val="009972DB"/>
    <w:rsid w:val="009A04C4"/>
    <w:rsid w:val="009A52BA"/>
    <w:rsid w:val="009A538C"/>
    <w:rsid w:val="009A6C80"/>
    <w:rsid w:val="009A705E"/>
    <w:rsid w:val="009B0391"/>
    <w:rsid w:val="009B03B6"/>
    <w:rsid w:val="009B0459"/>
    <w:rsid w:val="009B1A0F"/>
    <w:rsid w:val="009B3C83"/>
    <w:rsid w:val="009B3E36"/>
    <w:rsid w:val="009B62F7"/>
    <w:rsid w:val="009B7912"/>
    <w:rsid w:val="009C2607"/>
    <w:rsid w:val="009C2DE7"/>
    <w:rsid w:val="009C39A4"/>
    <w:rsid w:val="009C4955"/>
    <w:rsid w:val="009C4AA5"/>
    <w:rsid w:val="009C5293"/>
    <w:rsid w:val="009C5393"/>
    <w:rsid w:val="009C65E5"/>
    <w:rsid w:val="009C6858"/>
    <w:rsid w:val="009D1DDE"/>
    <w:rsid w:val="009D1EF1"/>
    <w:rsid w:val="009D3E85"/>
    <w:rsid w:val="009D4E86"/>
    <w:rsid w:val="009D4F7F"/>
    <w:rsid w:val="009D6798"/>
    <w:rsid w:val="009E0A8F"/>
    <w:rsid w:val="009E1122"/>
    <w:rsid w:val="009E2DC4"/>
    <w:rsid w:val="009E37E9"/>
    <w:rsid w:val="009E394B"/>
    <w:rsid w:val="009E44D2"/>
    <w:rsid w:val="009E7313"/>
    <w:rsid w:val="009E7AC9"/>
    <w:rsid w:val="009F08AE"/>
    <w:rsid w:val="009F1D8B"/>
    <w:rsid w:val="009F3B0A"/>
    <w:rsid w:val="009F528E"/>
    <w:rsid w:val="009F6696"/>
    <w:rsid w:val="009F68D3"/>
    <w:rsid w:val="00A02DB5"/>
    <w:rsid w:val="00A03B9B"/>
    <w:rsid w:val="00A06FB1"/>
    <w:rsid w:val="00A0714E"/>
    <w:rsid w:val="00A073C5"/>
    <w:rsid w:val="00A07AE0"/>
    <w:rsid w:val="00A123ED"/>
    <w:rsid w:val="00A12765"/>
    <w:rsid w:val="00A12E5A"/>
    <w:rsid w:val="00A12F64"/>
    <w:rsid w:val="00A152A0"/>
    <w:rsid w:val="00A17FD5"/>
    <w:rsid w:val="00A225BA"/>
    <w:rsid w:val="00A234E8"/>
    <w:rsid w:val="00A239E6"/>
    <w:rsid w:val="00A23BC0"/>
    <w:rsid w:val="00A24919"/>
    <w:rsid w:val="00A25835"/>
    <w:rsid w:val="00A30500"/>
    <w:rsid w:val="00A32416"/>
    <w:rsid w:val="00A32A90"/>
    <w:rsid w:val="00A34F73"/>
    <w:rsid w:val="00A374CC"/>
    <w:rsid w:val="00A37F26"/>
    <w:rsid w:val="00A4070B"/>
    <w:rsid w:val="00A408BA"/>
    <w:rsid w:val="00A42F12"/>
    <w:rsid w:val="00A443B2"/>
    <w:rsid w:val="00A44948"/>
    <w:rsid w:val="00A45C7C"/>
    <w:rsid w:val="00A47303"/>
    <w:rsid w:val="00A50631"/>
    <w:rsid w:val="00A51E10"/>
    <w:rsid w:val="00A52D3D"/>
    <w:rsid w:val="00A537D8"/>
    <w:rsid w:val="00A53994"/>
    <w:rsid w:val="00A5440A"/>
    <w:rsid w:val="00A56A8F"/>
    <w:rsid w:val="00A56F13"/>
    <w:rsid w:val="00A5757D"/>
    <w:rsid w:val="00A57F1D"/>
    <w:rsid w:val="00A625EC"/>
    <w:rsid w:val="00A65333"/>
    <w:rsid w:val="00A660F1"/>
    <w:rsid w:val="00A67B19"/>
    <w:rsid w:val="00A70463"/>
    <w:rsid w:val="00A70A12"/>
    <w:rsid w:val="00A71BB1"/>
    <w:rsid w:val="00A7247E"/>
    <w:rsid w:val="00A75443"/>
    <w:rsid w:val="00A76604"/>
    <w:rsid w:val="00A80D01"/>
    <w:rsid w:val="00A81FB8"/>
    <w:rsid w:val="00A82B86"/>
    <w:rsid w:val="00A8425C"/>
    <w:rsid w:val="00A845A8"/>
    <w:rsid w:val="00A8562B"/>
    <w:rsid w:val="00A85908"/>
    <w:rsid w:val="00A87DF1"/>
    <w:rsid w:val="00A92682"/>
    <w:rsid w:val="00A93BD5"/>
    <w:rsid w:val="00A94170"/>
    <w:rsid w:val="00A9460D"/>
    <w:rsid w:val="00AA0C9C"/>
    <w:rsid w:val="00AA1AE9"/>
    <w:rsid w:val="00AA233D"/>
    <w:rsid w:val="00AA38E0"/>
    <w:rsid w:val="00AA3F15"/>
    <w:rsid w:val="00AA41B1"/>
    <w:rsid w:val="00AA4B25"/>
    <w:rsid w:val="00AA6152"/>
    <w:rsid w:val="00AA62CB"/>
    <w:rsid w:val="00AB099C"/>
    <w:rsid w:val="00AB0B07"/>
    <w:rsid w:val="00AB12B4"/>
    <w:rsid w:val="00AB1FFC"/>
    <w:rsid w:val="00AB41C5"/>
    <w:rsid w:val="00AB5F73"/>
    <w:rsid w:val="00AB6AA9"/>
    <w:rsid w:val="00AC1082"/>
    <w:rsid w:val="00AC37DB"/>
    <w:rsid w:val="00AC4171"/>
    <w:rsid w:val="00AC4447"/>
    <w:rsid w:val="00AC4CA9"/>
    <w:rsid w:val="00AC62B3"/>
    <w:rsid w:val="00AD17AE"/>
    <w:rsid w:val="00AD1B70"/>
    <w:rsid w:val="00AD1F40"/>
    <w:rsid w:val="00AD208E"/>
    <w:rsid w:val="00AD2FA4"/>
    <w:rsid w:val="00AD473E"/>
    <w:rsid w:val="00AE5D56"/>
    <w:rsid w:val="00AE68B0"/>
    <w:rsid w:val="00AE6FF2"/>
    <w:rsid w:val="00AF2382"/>
    <w:rsid w:val="00AF41E5"/>
    <w:rsid w:val="00AF629C"/>
    <w:rsid w:val="00AF63B5"/>
    <w:rsid w:val="00AF707D"/>
    <w:rsid w:val="00B015C5"/>
    <w:rsid w:val="00B026CB"/>
    <w:rsid w:val="00B04004"/>
    <w:rsid w:val="00B0430C"/>
    <w:rsid w:val="00B04623"/>
    <w:rsid w:val="00B052A6"/>
    <w:rsid w:val="00B052BB"/>
    <w:rsid w:val="00B058D0"/>
    <w:rsid w:val="00B05B88"/>
    <w:rsid w:val="00B05CF4"/>
    <w:rsid w:val="00B073DB"/>
    <w:rsid w:val="00B07F7C"/>
    <w:rsid w:val="00B10AFF"/>
    <w:rsid w:val="00B128B9"/>
    <w:rsid w:val="00B13377"/>
    <w:rsid w:val="00B13D8C"/>
    <w:rsid w:val="00B13F23"/>
    <w:rsid w:val="00B14961"/>
    <w:rsid w:val="00B154CD"/>
    <w:rsid w:val="00B16BB3"/>
    <w:rsid w:val="00B2106E"/>
    <w:rsid w:val="00B21F91"/>
    <w:rsid w:val="00B23645"/>
    <w:rsid w:val="00B25213"/>
    <w:rsid w:val="00B265DB"/>
    <w:rsid w:val="00B27615"/>
    <w:rsid w:val="00B301BE"/>
    <w:rsid w:val="00B3024D"/>
    <w:rsid w:val="00B306C3"/>
    <w:rsid w:val="00B32218"/>
    <w:rsid w:val="00B32B45"/>
    <w:rsid w:val="00B33AC8"/>
    <w:rsid w:val="00B3503D"/>
    <w:rsid w:val="00B358DC"/>
    <w:rsid w:val="00B4363D"/>
    <w:rsid w:val="00B43C99"/>
    <w:rsid w:val="00B446F4"/>
    <w:rsid w:val="00B44D0D"/>
    <w:rsid w:val="00B454E3"/>
    <w:rsid w:val="00B466FD"/>
    <w:rsid w:val="00B47783"/>
    <w:rsid w:val="00B51FEC"/>
    <w:rsid w:val="00B52D97"/>
    <w:rsid w:val="00B5332B"/>
    <w:rsid w:val="00B53BE1"/>
    <w:rsid w:val="00B5791C"/>
    <w:rsid w:val="00B60E08"/>
    <w:rsid w:val="00B61024"/>
    <w:rsid w:val="00B6161D"/>
    <w:rsid w:val="00B61795"/>
    <w:rsid w:val="00B62CC0"/>
    <w:rsid w:val="00B635A8"/>
    <w:rsid w:val="00B640D4"/>
    <w:rsid w:val="00B64F5F"/>
    <w:rsid w:val="00B6526E"/>
    <w:rsid w:val="00B6547E"/>
    <w:rsid w:val="00B65B2B"/>
    <w:rsid w:val="00B66479"/>
    <w:rsid w:val="00B74410"/>
    <w:rsid w:val="00B74AFA"/>
    <w:rsid w:val="00B7505C"/>
    <w:rsid w:val="00B75E25"/>
    <w:rsid w:val="00B77F36"/>
    <w:rsid w:val="00B80CE6"/>
    <w:rsid w:val="00B810CD"/>
    <w:rsid w:val="00B830EB"/>
    <w:rsid w:val="00B839A3"/>
    <w:rsid w:val="00B83C51"/>
    <w:rsid w:val="00B85B34"/>
    <w:rsid w:val="00B85D73"/>
    <w:rsid w:val="00B8683F"/>
    <w:rsid w:val="00B87BD5"/>
    <w:rsid w:val="00B906D9"/>
    <w:rsid w:val="00B92023"/>
    <w:rsid w:val="00B939F4"/>
    <w:rsid w:val="00B96DBC"/>
    <w:rsid w:val="00B97BE9"/>
    <w:rsid w:val="00BA1131"/>
    <w:rsid w:val="00BA2B66"/>
    <w:rsid w:val="00BA35BD"/>
    <w:rsid w:val="00BA4442"/>
    <w:rsid w:val="00BA4A64"/>
    <w:rsid w:val="00BA6685"/>
    <w:rsid w:val="00BA6B24"/>
    <w:rsid w:val="00BA7EAE"/>
    <w:rsid w:val="00BA7FB5"/>
    <w:rsid w:val="00BB0BFA"/>
    <w:rsid w:val="00BB33BE"/>
    <w:rsid w:val="00BB43EB"/>
    <w:rsid w:val="00BB4D29"/>
    <w:rsid w:val="00BB5199"/>
    <w:rsid w:val="00BB540D"/>
    <w:rsid w:val="00BB584E"/>
    <w:rsid w:val="00BB5ECA"/>
    <w:rsid w:val="00BB760D"/>
    <w:rsid w:val="00BB7C5D"/>
    <w:rsid w:val="00BC08DE"/>
    <w:rsid w:val="00BC2F5B"/>
    <w:rsid w:val="00BC47E7"/>
    <w:rsid w:val="00BC61BB"/>
    <w:rsid w:val="00BC63F1"/>
    <w:rsid w:val="00BC6D6E"/>
    <w:rsid w:val="00BD0124"/>
    <w:rsid w:val="00BD149B"/>
    <w:rsid w:val="00BD2C3D"/>
    <w:rsid w:val="00BD32F9"/>
    <w:rsid w:val="00BD3726"/>
    <w:rsid w:val="00BD4452"/>
    <w:rsid w:val="00BD4CC4"/>
    <w:rsid w:val="00BD737E"/>
    <w:rsid w:val="00BD7C20"/>
    <w:rsid w:val="00BE0367"/>
    <w:rsid w:val="00BE50D0"/>
    <w:rsid w:val="00BE6ECD"/>
    <w:rsid w:val="00BE7370"/>
    <w:rsid w:val="00BE7489"/>
    <w:rsid w:val="00BF011E"/>
    <w:rsid w:val="00BF0207"/>
    <w:rsid w:val="00BF05AF"/>
    <w:rsid w:val="00BF1062"/>
    <w:rsid w:val="00BF1568"/>
    <w:rsid w:val="00BF1915"/>
    <w:rsid w:val="00BF1BDB"/>
    <w:rsid w:val="00BF2C8A"/>
    <w:rsid w:val="00BF497C"/>
    <w:rsid w:val="00BF4D13"/>
    <w:rsid w:val="00BF6264"/>
    <w:rsid w:val="00C0102D"/>
    <w:rsid w:val="00C0162E"/>
    <w:rsid w:val="00C039B2"/>
    <w:rsid w:val="00C0406C"/>
    <w:rsid w:val="00C05167"/>
    <w:rsid w:val="00C07430"/>
    <w:rsid w:val="00C1053A"/>
    <w:rsid w:val="00C105E8"/>
    <w:rsid w:val="00C125DA"/>
    <w:rsid w:val="00C12F77"/>
    <w:rsid w:val="00C1613C"/>
    <w:rsid w:val="00C164B8"/>
    <w:rsid w:val="00C166FE"/>
    <w:rsid w:val="00C2301B"/>
    <w:rsid w:val="00C23A21"/>
    <w:rsid w:val="00C23E8D"/>
    <w:rsid w:val="00C265EB"/>
    <w:rsid w:val="00C27292"/>
    <w:rsid w:val="00C30684"/>
    <w:rsid w:val="00C32E49"/>
    <w:rsid w:val="00C33CF4"/>
    <w:rsid w:val="00C42143"/>
    <w:rsid w:val="00C42BE5"/>
    <w:rsid w:val="00C44253"/>
    <w:rsid w:val="00C44282"/>
    <w:rsid w:val="00C4666A"/>
    <w:rsid w:val="00C46672"/>
    <w:rsid w:val="00C47137"/>
    <w:rsid w:val="00C47515"/>
    <w:rsid w:val="00C520E7"/>
    <w:rsid w:val="00C52314"/>
    <w:rsid w:val="00C535BE"/>
    <w:rsid w:val="00C55169"/>
    <w:rsid w:val="00C55D7D"/>
    <w:rsid w:val="00C56424"/>
    <w:rsid w:val="00C569C6"/>
    <w:rsid w:val="00C570F2"/>
    <w:rsid w:val="00C60079"/>
    <w:rsid w:val="00C60F49"/>
    <w:rsid w:val="00C6256D"/>
    <w:rsid w:val="00C63246"/>
    <w:rsid w:val="00C641A1"/>
    <w:rsid w:val="00C6554A"/>
    <w:rsid w:val="00C71819"/>
    <w:rsid w:val="00C71C07"/>
    <w:rsid w:val="00C72598"/>
    <w:rsid w:val="00C72A6E"/>
    <w:rsid w:val="00C734E4"/>
    <w:rsid w:val="00C74F36"/>
    <w:rsid w:val="00C759EA"/>
    <w:rsid w:val="00C77B5E"/>
    <w:rsid w:val="00C80AE3"/>
    <w:rsid w:val="00C80D83"/>
    <w:rsid w:val="00C82656"/>
    <w:rsid w:val="00C82964"/>
    <w:rsid w:val="00C83629"/>
    <w:rsid w:val="00C8466D"/>
    <w:rsid w:val="00C84D2E"/>
    <w:rsid w:val="00C85EAC"/>
    <w:rsid w:val="00C85FD4"/>
    <w:rsid w:val="00C862F2"/>
    <w:rsid w:val="00C877B3"/>
    <w:rsid w:val="00C90CFC"/>
    <w:rsid w:val="00C90D5A"/>
    <w:rsid w:val="00C91A72"/>
    <w:rsid w:val="00C91C6B"/>
    <w:rsid w:val="00C94B8A"/>
    <w:rsid w:val="00C94C53"/>
    <w:rsid w:val="00C94E3A"/>
    <w:rsid w:val="00C95B58"/>
    <w:rsid w:val="00C97020"/>
    <w:rsid w:val="00C97839"/>
    <w:rsid w:val="00CA2998"/>
    <w:rsid w:val="00CA3D92"/>
    <w:rsid w:val="00CA536E"/>
    <w:rsid w:val="00CA63DD"/>
    <w:rsid w:val="00CA6CE8"/>
    <w:rsid w:val="00CB02A0"/>
    <w:rsid w:val="00CB04BF"/>
    <w:rsid w:val="00CB1163"/>
    <w:rsid w:val="00CB18FD"/>
    <w:rsid w:val="00CB2B1D"/>
    <w:rsid w:val="00CB39F1"/>
    <w:rsid w:val="00CB3B6C"/>
    <w:rsid w:val="00CB545E"/>
    <w:rsid w:val="00CB6912"/>
    <w:rsid w:val="00CC4CD9"/>
    <w:rsid w:val="00CD2072"/>
    <w:rsid w:val="00CD2BD0"/>
    <w:rsid w:val="00CD3547"/>
    <w:rsid w:val="00CD3EF3"/>
    <w:rsid w:val="00CD3F2F"/>
    <w:rsid w:val="00CD5A2B"/>
    <w:rsid w:val="00CD7B50"/>
    <w:rsid w:val="00CE0A89"/>
    <w:rsid w:val="00CE15D1"/>
    <w:rsid w:val="00CE528D"/>
    <w:rsid w:val="00CF43C0"/>
    <w:rsid w:val="00CF4F7B"/>
    <w:rsid w:val="00CF5069"/>
    <w:rsid w:val="00CF5077"/>
    <w:rsid w:val="00CF57C2"/>
    <w:rsid w:val="00CF683C"/>
    <w:rsid w:val="00D00508"/>
    <w:rsid w:val="00D008C7"/>
    <w:rsid w:val="00D011B3"/>
    <w:rsid w:val="00D03CE1"/>
    <w:rsid w:val="00D104C1"/>
    <w:rsid w:val="00D11544"/>
    <w:rsid w:val="00D14BB1"/>
    <w:rsid w:val="00D172B5"/>
    <w:rsid w:val="00D20926"/>
    <w:rsid w:val="00D21138"/>
    <w:rsid w:val="00D2175B"/>
    <w:rsid w:val="00D228C7"/>
    <w:rsid w:val="00D26AC4"/>
    <w:rsid w:val="00D26BC0"/>
    <w:rsid w:val="00D2732A"/>
    <w:rsid w:val="00D275EB"/>
    <w:rsid w:val="00D340F9"/>
    <w:rsid w:val="00D34D4E"/>
    <w:rsid w:val="00D3622E"/>
    <w:rsid w:val="00D40CFB"/>
    <w:rsid w:val="00D43126"/>
    <w:rsid w:val="00D4335F"/>
    <w:rsid w:val="00D439C9"/>
    <w:rsid w:val="00D45084"/>
    <w:rsid w:val="00D464DB"/>
    <w:rsid w:val="00D467B9"/>
    <w:rsid w:val="00D47348"/>
    <w:rsid w:val="00D509B6"/>
    <w:rsid w:val="00D56913"/>
    <w:rsid w:val="00D57E9C"/>
    <w:rsid w:val="00D61A93"/>
    <w:rsid w:val="00D625F1"/>
    <w:rsid w:val="00D63A7B"/>
    <w:rsid w:val="00D63D07"/>
    <w:rsid w:val="00D64925"/>
    <w:rsid w:val="00D66F61"/>
    <w:rsid w:val="00D673BE"/>
    <w:rsid w:val="00D67704"/>
    <w:rsid w:val="00D759A8"/>
    <w:rsid w:val="00D76556"/>
    <w:rsid w:val="00D7664A"/>
    <w:rsid w:val="00D779AA"/>
    <w:rsid w:val="00D816B7"/>
    <w:rsid w:val="00D840F6"/>
    <w:rsid w:val="00D852AD"/>
    <w:rsid w:val="00D90DDE"/>
    <w:rsid w:val="00D914D0"/>
    <w:rsid w:val="00D92114"/>
    <w:rsid w:val="00D924FD"/>
    <w:rsid w:val="00D9415B"/>
    <w:rsid w:val="00D950CF"/>
    <w:rsid w:val="00D95597"/>
    <w:rsid w:val="00D956E6"/>
    <w:rsid w:val="00D963E0"/>
    <w:rsid w:val="00D96A9F"/>
    <w:rsid w:val="00DA0091"/>
    <w:rsid w:val="00DA1C19"/>
    <w:rsid w:val="00DA3EC0"/>
    <w:rsid w:val="00DA7206"/>
    <w:rsid w:val="00DB2035"/>
    <w:rsid w:val="00DB2472"/>
    <w:rsid w:val="00DB2724"/>
    <w:rsid w:val="00DB6752"/>
    <w:rsid w:val="00DB6FD8"/>
    <w:rsid w:val="00DB7F68"/>
    <w:rsid w:val="00DC02BE"/>
    <w:rsid w:val="00DC19C5"/>
    <w:rsid w:val="00DC1C57"/>
    <w:rsid w:val="00DC33B8"/>
    <w:rsid w:val="00DC3B1A"/>
    <w:rsid w:val="00DC4DE0"/>
    <w:rsid w:val="00DC5C58"/>
    <w:rsid w:val="00DC5D36"/>
    <w:rsid w:val="00DC76C7"/>
    <w:rsid w:val="00DD2043"/>
    <w:rsid w:val="00DD232F"/>
    <w:rsid w:val="00DD2E49"/>
    <w:rsid w:val="00DD4147"/>
    <w:rsid w:val="00DE0F00"/>
    <w:rsid w:val="00DE212E"/>
    <w:rsid w:val="00DE2A31"/>
    <w:rsid w:val="00DE4A71"/>
    <w:rsid w:val="00DE5C62"/>
    <w:rsid w:val="00DE6543"/>
    <w:rsid w:val="00DE67F2"/>
    <w:rsid w:val="00DE745C"/>
    <w:rsid w:val="00DF090A"/>
    <w:rsid w:val="00DF2275"/>
    <w:rsid w:val="00DF2A83"/>
    <w:rsid w:val="00DF362C"/>
    <w:rsid w:val="00DF39D8"/>
    <w:rsid w:val="00DF4EF6"/>
    <w:rsid w:val="00DF5C9A"/>
    <w:rsid w:val="00DF61C6"/>
    <w:rsid w:val="00E021AB"/>
    <w:rsid w:val="00E033C5"/>
    <w:rsid w:val="00E036D3"/>
    <w:rsid w:val="00E04544"/>
    <w:rsid w:val="00E1231C"/>
    <w:rsid w:val="00E1325B"/>
    <w:rsid w:val="00E140A4"/>
    <w:rsid w:val="00E146C6"/>
    <w:rsid w:val="00E15225"/>
    <w:rsid w:val="00E152B8"/>
    <w:rsid w:val="00E15E91"/>
    <w:rsid w:val="00E16077"/>
    <w:rsid w:val="00E172CD"/>
    <w:rsid w:val="00E20A04"/>
    <w:rsid w:val="00E26045"/>
    <w:rsid w:val="00E26D5B"/>
    <w:rsid w:val="00E27398"/>
    <w:rsid w:val="00E2791C"/>
    <w:rsid w:val="00E31A66"/>
    <w:rsid w:val="00E32937"/>
    <w:rsid w:val="00E33829"/>
    <w:rsid w:val="00E33BE0"/>
    <w:rsid w:val="00E340B1"/>
    <w:rsid w:val="00E343CA"/>
    <w:rsid w:val="00E35182"/>
    <w:rsid w:val="00E378A3"/>
    <w:rsid w:val="00E401D6"/>
    <w:rsid w:val="00E4363D"/>
    <w:rsid w:val="00E45564"/>
    <w:rsid w:val="00E46163"/>
    <w:rsid w:val="00E461D5"/>
    <w:rsid w:val="00E476DC"/>
    <w:rsid w:val="00E478AF"/>
    <w:rsid w:val="00E50600"/>
    <w:rsid w:val="00E531DF"/>
    <w:rsid w:val="00E56353"/>
    <w:rsid w:val="00E571B7"/>
    <w:rsid w:val="00E57D36"/>
    <w:rsid w:val="00E60678"/>
    <w:rsid w:val="00E62B75"/>
    <w:rsid w:val="00E62B99"/>
    <w:rsid w:val="00E63CA8"/>
    <w:rsid w:val="00E64747"/>
    <w:rsid w:val="00E64EFD"/>
    <w:rsid w:val="00E6502C"/>
    <w:rsid w:val="00E65263"/>
    <w:rsid w:val="00E65B64"/>
    <w:rsid w:val="00E6748B"/>
    <w:rsid w:val="00E72456"/>
    <w:rsid w:val="00E72F17"/>
    <w:rsid w:val="00E7320A"/>
    <w:rsid w:val="00E747E3"/>
    <w:rsid w:val="00E75E8D"/>
    <w:rsid w:val="00E76355"/>
    <w:rsid w:val="00E76425"/>
    <w:rsid w:val="00E80922"/>
    <w:rsid w:val="00E81543"/>
    <w:rsid w:val="00E83391"/>
    <w:rsid w:val="00E8443E"/>
    <w:rsid w:val="00E8507B"/>
    <w:rsid w:val="00E854C6"/>
    <w:rsid w:val="00E8579D"/>
    <w:rsid w:val="00E864EE"/>
    <w:rsid w:val="00E8679B"/>
    <w:rsid w:val="00E87E45"/>
    <w:rsid w:val="00E91392"/>
    <w:rsid w:val="00E91A76"/>
    <w:rsid w:val="00E91B0B"/>
    <w:rsid w:val="00E9394A"/>
    <w:rsid w:val="00EA074F"/>
    <w:rsid w:val="00EA0ABD"/>
    <w:rsid w:val="00EA1202"/>
    <w:rsid w:val="00EA3BD6"/>
    <w:rsid w:val="00EA4230"/>
    <w:rsid w:val="00EA516E"/>
    <w:rsid w:val="00EA59DF"/>
    <w:rsid w:val="00EA6FB4"/>
    <w:rsid w:val="00EA72AE"/>
    <w:rsid w:val="00EA7826"/>
    <w:rsid w:val="00EB1AE7"/>
    <w:rsid w:val="00EB305B"/>
    <w:rsid w:val="00EB4FBB"/>
    <w:rsid w:val="00EB63C7"/>
    <w:rsid w:val="00EC0008"/>
    <w:rsid w:val="00EC08F1"/>
    <w:rsid w:val="00EC66DB"/>
    <w:rsid w:val="00EC73F4"/>
    <w:rsid w:val="00EC7C71"/>
    <w:rsid w:val="00EC7E8E"/>
    <w:rsid w:val="00ED172A"/>
    <w:rsid w:val="00ED1825"/>
    <w:rsid w:val="00ED1B9D"/>
    <w:rsid w:val="00ED41C9"/>
    <w:rsid w:val="00ED5540"/>
    <w:rsid w:val="00ED5657"/>
    <w:rsid w:val="00EE0884"/>
    <w:rsid w:val="00EE0EC0"/>
    <w:rsid w:val="00EE334D"/>
    <w:rsid w:val="00EE3B08"/>
    <w:rsid w:val="00EE47AE"/>
    <w:rsid w:val="00EE7599"/>
    <w:rsid w:val="00EF191C"/>
    <w:rsid w:val="00EF2917"/>
    <w:rsid w:val="00EF3A0C"/>
    <w:rsid w:val="00EF44D3"/>
    <w:rsid w:val="00EF4EEF"/>
    <w:rsid w:val="00EF5882"/>
    <w:rsid w:val="00EF6E5C"/>
    <w:rsid w:val="00EF7E69"/>
    <w:rsid w:val="00F02C9F"/>
    <w:rsid w:val="00F02D2C"/>
    <w:rsid w:val="00F0320E"/>
    <w:rsid w:val="00F05616"/>
    <w:rsid w:val="00F067BB"/>
    <w:rsid w:val="00F11232"/>
    <w:rsid w:val="00F13226"/>
    <w:rsid w:val="00F14A28"/>
    <w:rsid w:val="00F15496"/>
    <w:rsid w:val="00F20310"/>
    <w:rsid w:val="00F21030"/>
    <w:rsid w:val="00F21DBD"/>
    <w:rsid w:val="00F22941"/>
    <w:rsid w:val="00F23099"/>
    <w:rsid w:val="00F237C9"/>
    <w:rsid w:val="00F23FB7"/>
    <w:rsid w:val="00F25B50"/>
    <w:rsid w:val="00F25E2C"/>
    <w:rsid w:val="00F26491"/>
    <w:rsid w:val="00F26A80"/>
    <w:rsid w:val="00F32396"/>
    <w:rsid w:val="00F3293F"/>
    <w:rsid w:val="00F33A43"/>
    <w:rsid w:val="00F353CA"/>
    <w:rsid w:val="00F360C6"/>
    <w:rsid w:val="00F36585"/>
    <w:rsid w:val="00F3772B"/>
    <w:rsid w:val="00F379E1"/>
    <w:rsid w:val="00F414FB"/>
    <w:rsid w:val="00F41C61"/>
    <w:rsid w:val="00F421DB"/>
    <w:rsid w:val="00F45B1F"/>
    <w:rsid w:val="00F469F0"/>
    <w:rsid w:val="00F51B6F"/>
    <w:rsid w:val="00F5290D"/>
    <w:rsid w:val="00F5334C"/>
    <w:rsid w:val="00F56C8D"/>
    <w:rsid w:val="00F57BB6"/>
    <w:rsid w:val="00F60ECE"/>
    <w:rsid w:val="00F65564"/>
    <w:rsid w:val="00F677CE"/>
    <w:rsid w:val="00F67813"/>
    <w:rsid w:val="00F72586"/>
    <w:rsid w:val="00F72F47"/>
    <w:rsid w:val="00F731CB"/>
    <w:rsid w:val="00F733C7"/>
    <w:rsid w:val="00F75609"/>
    <w:rsid w:val="00F75AAB"/>
    <w:rsid w:val="00F77C56"/>
    <w:rsid w:val="00F82FFA"/>
    <w:rsid w:val="00F8337C"/>
    <w:rsid w:val="00F83609"/>
    <w:rsid w:val="00F878B9"/>
    <w:rsid w:val="00F90AAC"/>
    <w:rsid w:val="00F9470C"/>
    <w:rsid w:val="00F96222"/>
    <w:rsid w:val="00FA0845"/>
    <w:rsid w:val="00FA0DA5"/>
    <w:rsid w:val="00FA0F29"/>
    <w:rsid w:val="00FA1841"/>
    <w:rsid w:val="00FA1B09"/>
    <w:rsid w:val="00FA1B5C"/>
    <w:rsid w:val="00FA47A8"/>
    <w:rsid w:val="00FA4EAE"/>
    <w:rsid w:val="00FA6017"/>
    <w:rsid w:val="00FA66CD"/>
    <w:rsid w:val="00FB032E"/>
    <w:rsid w:val="00FB3CE6"/>
    <w:rsid w:val="00FB6690"/>
    <w:rsid w:val="00FB6B20"/>
    <w:rsid w:val="00FB7426"/>
    <w:rsid w:val="00FB7876"/>
    <w:rsid w:val="00FC17B1"/>
    <w:rsid w:val="00FC2A3E"/>
    <w:rsid w:val="00FC3D7E"/>
    <w:rsid w:val="00FC487F"/>
    <w:rsid w:val="00FC6439"/>
    <w:rsid w:val="00FC6FCF"/>
    <w:rsid w:val="00FD485C"/>
    <w:rsid w:val="00FD5A14"/>
    <w:rsid w:val="00FD686D"/>
    <w:rsid w:val="00FD6E12"/>
    <w:rsid w:val="00FE2E74"/>
    <w:rsid w:val="00FE2F45"/>
    <w:rsid w:val="00FE3044"/>
    <w:rsid w:val="00FE56CD"/>
    <w:rsid w:val="00FE71CD"/>
    <w:rsid w:val="00FE73ED"/>
    <w:rsid w:val="00FF085C"/>
    <w:rsid w:val="00FF1E76"/>
    <w:rsid w:val="00FF2E6B"/>
    <w:rsid w:val="00FF4E19"/>
    <w:rsid w:val="00FF61E8"/>
    <w:rsid w:val="00FF63F0"/>
    <w:rsid w:val="00FF6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0F291-99B4-400B-B9AA-68DD94DC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55"/>
    <w:rPr>
      <w:sz w:val="24"/>
      <w:szCs w:val="24"/>
    </w:rPr>
  </w:style>
  <w:style w:type="paragraph" w:styleId="Ttulo1">
    <w:name w:val="heading 1"/>
    <w:basedOn w:val="Normal"/>
    <w:next w:val="Normal"/>
    <w:qFormat/>
    <w:pPr>
      <w:keepNext/>
      <w:jc w:val="center"/>
      <w:outlineLvl w:val="0"/>
    </w:pPr>
    <w:rPr>
      <w:sz w:val="28"/>
    </w:rPr>
  </w:style>
  <w:style w:type="paragraph" w:styleId="Ttulo2">
    <w:name w:val="heading 2"/>
    <w:basedOn w:val="Normal"/>
    <w:next w:val="Normal"/>
    <w:qFormat/>
    <w:pPr>
      <w:keepNext/>
      <w:spacing w:after="240"/>
      <w:jc w:val="both"/>
      <w:outlineLvl w:val="1"/>
    </w:pPr>
    <w:rPr>
      <w:b/>
      <w:sz w:val="28"/>
      <w:szCs w:val="20"/>
    </w:rPr>
  </w:style>
  <w:style w:type="paragraph" w:styleId="Ttulo3">
    <w:name w:val="heading 3"/>
    <w:basedOn w:val="Normal"/>
    <w:next w:val="Normal"/>
    <w:qFormat/>
    <w:pPr>
      <w:keepNext/>
      <w:ind w:firstLine="1440"/>
      <w:outlineLvl w:val="2"/>
    </w:pPr>
    <w:rPr>
      <w:sz w:val="28"/>
    </w:rPr>
  </w:style>
  <w:style w:type="paragraph" w:styleId="Ttulo4">
    <w:name w:val="heading 4"/>
    <w:basedOn w:val="Normal"/>
    <w:next w:val="Normal"/>
    <w:qFormat/>
    <w:pPr>
      <w:keepNext/>
      <w:ind w:right="-420" w:firstLine="1418"/>
      <w:jc w:val="both"/>
      <w:outlineLvl w:val="3"/>
    </w:pPr>
    <w:rPr>
      <w:sz w:val="28"/>
      <w:szCs w:val="20"/>
    </w:rPr>
  </w:style>
  <w:style w:type="paragraph" w:styleId="Ttulo5">
    <w:name w:val="heading 5"/>
    <w:basedOn w:val="Normal"/>
    <w:next w:val="Normal"/>
    <w:link w:val="Ttulo5Char"/>
    <w:qFormat/>
    <w:pPr>
      <w:keepNext/>
      <w:jc w:val="center"/>
      <w:outlineLvl w:val="4"/>
    </w:pPr>
    <w:rPr>
      <w:b/>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Recuodecorpodetexto2">
    <w:name w:val="Body Text Indent 2"/>
    <w:basedOn w:val="Normal"/>
    <w:pPr>
      <w:spacing w:after="120" w:line="380" w:lineRule="exact"/>
      <w:ind w:firstLine="1701"/>
      <w:jc w:val="both"/>
    </w:pPr>
    <w:rPr>
      <w:sz w:val="28"/>
      <w:szCs w:val="20"/>
    </w:rPr>
  </w:style>
  <w:style w:type="paragraph" w:customStyle="1" w:styleId="Corpodetexto21">
    <w:name w:val="Corpo de texto 21"/>
    <w:basedOn w:val="Normal"/>
    <w:pPr>
      <w:tabs>
        <w:tab w:val="left" w:pos="4253"/>
      </w:tabs>
      <w:ind w:firstLine="1701"/>
      <w:jc w:val="both"/>
    </w:pPr>
    <w:rPr>
      <w:sz w:val="28"/>
      <w:szCs w:val="20"/>
    </w:rPr>
  </w:style>
  <w:style w:type="paragraph" w:styleId="Ttulo">
    <w:name w:val="Title"/>
    <w:basedOn w:val="Normal"/>
    <w:qFormat/>
    <w:pPr>
      <w:spacing w:after="720"/>
      <w:jc w:val="center"/>
    </w:pPr>
    <w:rPr>
      <w:b/>
      <w:sz w:val="32"/>
      <w:szCs w:val="20"/>
    </w:rPr>
  </w:style>
  <w:style w:type="paragraph" w:styleId="Textodenotaderodap">
    <w:name w:val="footnote text"/>
    <w:basedOn w:val="Normal"/>
    <w:link w:val="TextodenotaderodapChar"/>
    <w:uiPriority w:val="99"/>
    <w:rsid w:val="007275F9"/>
    <w:pPr>
      <w:ind w:left="113" w:hanging="113"/>
      <w:jc w:val="both"/>
    </w:pPr>
    <w:rPr>
      <w:sz w:val="20"/>
      <w:szCs w:val="20"/>
    </w:rPr>
  </w:style>
  <w:style w:type="character" w:styleId="Refdenotaderodap">
    <w:name w:val="footnote reference"/>
    <w:uiPriority w:val="99"/>
    <w:rPr>
      <w:vertAlign w:val="superscript"/>
    </w:rPr>
  </w:style>
  <w:style w:type="paragraph" w:styleId="Recuodecorpodetexto">
    <w:name w:val="Body Text Indent"/>
    <w:basedOn w:val="Normal"/>
    <w:pPr>
      <w:spacing w:line="360" w:lineRule="auto"/>
      <w:ind w:firstLine="1418"/>
      <w:jc w:val="both"/>
    </w:pPr>
    <w:rPr>
      <w:sz w:val="28"/>
    </w:rPr>
  </w:style>
  <w:style w:type="paragraph" w:styleId="Recuodecorpodetexto3">
    <w:name w:val="Body Text Indent 3"/>
    <w:basedOn w:val="Normal"/>
    <w:pPr>
      <w:spacing w:after="240" w:line="360" w:lineRule="auto"/>
      <w:ind w:firstLine="1260"/>
      <w:jc w:val="both"/>
    </w:pPr>
    <w:rPr>
      <w:sz w:val="28"/>
    </w:rPr>
  </w:style>
  <w:style w:type="character" w:customStyle="1" w:styleId="Heading9Char">
    <w:name w:val="Heading 9 Char"/>
    <w:semiHidden/>
    <w:locked/>
    <w:rPr>
      <w:rFonts w:ascii="Cambria" w:hAnsi="Cambria" w:cs="Times New Roman"/>
      <w:sz w:val="22"/>
      <w:szCs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Corpodetexto">
    <w:name w:val="Body Text"/>
    <w:basedOn w:val="Normal"/>
    <w:pPr>
      <w:jc w:val="both"/>
    </w:pPr>
    <w:rPr>
      <w:sz w:val="28"/>
      <w:szCs w:val="20"/>
    </w:rPr>
  </w:style>
  <w:style w:type="paragraph" w:styleId="Corpodetexto3">
    <w:name w:val="Body Text 3"/>
    <w:basedOn w:val="Normal"/>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Pr>
      <w:rFonts w:ascii="Tahoma" w:hAnsi="Tahoma" w:cs="Tahoma"/>
      <w:sz w:val="16"/>
      <w:szCs w:val="16"/>
    </w:rPr>
  </w:style>
  <w:style w:type="paragraph" w:customStyle="1" w:styleId="texto1">
    <w:name w:val="texto1"/>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customStyle="1" w:styleId="texto2">
    <w:name w:val="texto2"/>
    <w:basedOn w:val="Normal"/>
    <w:pPr>
      <w:spacing w:before="100" w:beforeAutospacing="1" w:after="100" w:afterAutospacing="1"/>
    </w:pPr>
    <w:rPr>
      <w:rFonts w:ascii="Arial Unicode MS" w:eastAsia="Arial Unicode MS" w:hAnsi="Arial Unicode MS" w:cs="Arial Unicode MS"/>
    </w:rPr>
  </w:style>
  <w:style w:type="character" w:styleId="HiperlinkVisitado">
    <w:name w:val="FollowedHyperlink"/>
    <w:rPr>
      <w:color w:val="800080"/>
      <w:u w:val="single"/>
    </w:rPr>
  </w:style>
  <w:style w:type="paragraph" w:customStyle="1" w:styleId="texto">
    <w:name w:val="texto"/>
    <w:basedOn w:val="Normal"/>
    <w:pPr>
      <w:ind w:firstLine="709"/>
      <w:jc w:val="both"/>
    </w:pPr>
    <w:rPr>
      <w:szCs w:val="20"/>
    </w:rPr>
  </w:style>
  <w:style w:type="paragraph" w:customStyle="1" w:styleId="Default">
    <w:name w:val="Default"/>
    <w:rsid w:val="00491C11"/>
    <w:pPr>
      <w:autoSpaceDE w:val="0"/>
      <w:autoSpaceDN w:val="0"/>
      <w:adjustRightInd w:val="0"/>
    </w:pPr>
    <w:rPr>
      <w:rFonts w:ascii="Arial" w:hAnsi="Arial" w:cs="Arial"/>
      <w:color w:val="000000"/>
      <w:sz w:val="24"/>
      <w:szCs w:val="24"/>
    </w:rPr>
  </w:style>
  <w:style w:type="character" w:customStyle="1" w:styleId="textoacao1">
    <w:name w:val="textoacao1"/>
    <w:rsid w:val="000406D9"/>
    <w:rPr>
      <w:rFonts w:ascii="Trebuchet MS" w:hAnsi="Trebuchet MS" w:hint="default"/>
      <w:color w:val="444444"/>
      <w:sz w:val="26"/>
      <w:szCs w:val="26"/>
    </w:rPr>
  </w:style>
  <w:style w:type="paragraph" w:customStyle="1" w:styleId="04-PargrafodetextoEstudoNotas-CLG">
    <w:name w:val="04 - Parágrafo de texto Estudo Notas - CLG"/>
    <w:link w:val="04-PargrafodetextoEstudoNotas-CLGChar"/>
    <w:rsid w:val="006A7B70"/>
    <w:pPr>
      <w:spacing w:after="360" w:line="360" w:lineRule="auto"/>
      <w:ind w:firstLine="1418"/>
      <w:jc w:val="both"/>
    </w:pPr>
    <w:rPr>
      <w:sz w:val="28"/>
    </w:rPr>
  </w:style>
  <w:style w:type="character" w:customStyle="1" w:styleId="04-PargrafodetextoEstudoNotas-CLGChar">
    <w:name w:val="04 - Parágrafo de texto Estudo Notas - CLG Char"/>
    <w:link w:val="04-PargrafodetextoEstudoNotas-CLG"/>
    <w:rsid w:val="006A7B70"/>
    <w:rPr>
      <w:sz w:val="28"/>
      <w:lang w:val="pt-BR" w:eastAsia="pt-BR" w:bidi="ar-SA"/>
    </w:rPr>
  </w:style>
  <w:style w:type="table" w:styleId="Tabelacomgrade">
    <w:name w:val="Table Grid"/>
    <w:basedOn w:val="Tabelanormal"/>
    <w:rsid w:val="00552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semiHidden/>
    <w:rsid w:val="00055B3C"/>
    <w:rPr>
      <w:sz w:val="16"/>
      <w:szCs w:val="16"/>
    </w:rPr>
  </w:style>
  <w:style w:type="paragraph" w:styleId="Textodecomentrio">
    <w:name w:val="annotation text"/>
    <w:basedOn w:val="Normal"/>
    <w:semiHidden/>
    <w:rsid w:val="00055B3C"/>
    <w:rPr>
      <w:sz w:val="20"/>
      <w:szCs w:val="20"/>
    </w:rPr>
  </w:style>
  <w:style w:type="paragraph" w:styleId="Assuntodocomentrio">
    <w:name w:val="annotation subject"/>
    <w:basedOn w:val="Textodecomentrio"/>
    <w:next w:val="Textodecomentrio"/>
    <w:semiHidden/>
    <w:rsid w:val="00055B3C"/>
    <w:rPr>
      <w:b/>
      <w:bCs/>
    </w:rPr>
  </w:style>
  <w:style w:type="character" w:customStyle="1" w:styleId="Normal-EscribaChar">
    <w:name w:val="Normal-Escriba Char"/>
    <w:link w:val="Normal-Escriba"/>
    <w:uiPriority w:val="99"/>
    <w:locked/>
    <w:rsid w:val="001E39D2"/>
    <w:rPr>
      <w:rFonts w:ascii="Arial" w:hAnsi="Arial"/>
      <w:sz w:val="24"/>
      <w:szCs w:val="24"/>
      <w:lang w:val="x-none" w:eastAsia="en-US" w:bidi="ar-SA"/>
    </w:rPr>
  </w:style>
  <w:style w:type="paragraph" w:customStyle="1" w:styleId="Normal-Escriba">
    <w:name w:val="Normal-Escriba"/>
    <w:basedOn w:val="Normal"/>
    <w:link w:val="Normal-EscribaChar"/>
    <w:uiPriority w:val="99"/>
    <w:rsid w:val="001E39D2"/>
    <w:pPr>
      <w:ind w:firstLine="1440"/>
      <w:jc w:val="both"/>
    </w:pPr>
    <w:rPr>
      <w:rFonts w:ascii="Arial" w:hAnsi="Arial"/>
      <w:lang w:val="x-none" w:eastAsia="en-US"/>
    </w:rPr>
  </w:style>
  <w:style w:type="character" w:customStyle="1" w:styleId="Ttulo5Char">
    <w:name w:val="Título 5 Char"/>
    <w:link w:val="Ttulo5"/>
    <w:locked/>
    <w:rsid w:val="00C85EAC"/>
    <w:rPr>
      <w:b/>
      <w:sz w:val="28"/>
    </w:rPr>
  </w:style>
  <w:style w:type="character" w:customStyle="1" w:styleId="st">
    <w:name w:val="st"/>
    <w:uiPriority w:val="99"/>
    <w:rsid w:val="00A06FB1"/>
    <w:rPr>
      <w:rFonts w:cs="Times New Roman"/>
    </w:rPr>
  </w:style>
  <w:style w:type="character" w:customStyle="1" w:styleId="principalstyle1">
    <w:name w:val="principalstyle1"/>
    <w:rsid w:val="00170405"/>
    <w:rPr>
      <w:rFonts w:ascii="Arial" w:hAnsi="Arial" w:cs="Arial" w:hint="default"/>
      <w:sz w:val="22"/>
      <w:szCs w:val="22"/>
    </w:rPr>
  </w:style>
  <w:style w:type="character" w:customStyle="1" w:styleId="citacaostyle1">
    <w:name w:val="citacaostyle1"/>
    <w:rsid w:val="006340AB"/>
    <w:rPr>
      <w:i/>
      <w:iCs/>
      <w:vanish w:val="0"/>
      <w:webHidden w:val="0"/>
      <w:specVanish w:val="0"/>
    </w:rPr>
  </w:style>
  <w:style w:type="paragraph" w:customStyle="1" w:styleId="04-PargrafodeTextoQA-CLG">
    <w:name w:val="04 - Parágrafo de Texto QA - CLG"/>
    <w:rsid w:val="00E83391"/>
    <w:pPr>
      <w:spacing w:after="360"/>
      <w:ind w:firstLine="1418"/>
      <w:jc w:val="both"/>
    </w:pPr>
    <w:rPr>
      <w:sz w:val="28"/>
    </w:rPr>
  </w:style>
  <w:style w:type="paragraph" w:customStyle="1" w:styleId="03-EmentaQA-CLG">
    <w:name w:val="03 - Ementa QA - CLG"/>
    <w:rsid w:val="00E83391"/>
    <w:pPr>
      <w:spacing w:after="1080"/>
      <w:ind w:left="3686"/>
      <w:jc w:val="both"/>
    </w:pPr>
    <w:rPr>
      <w:sz w:val="24"/>
    </w:rPr>
  </w:style>
  <w:style w:type="paragraph" w:customStyle="1" w:styleId="01-TtuloEstudoNota-CLG">
    <w:name w:val="01 - Título Estudo Nota - CLG"/>
    <w:link w:val="01-TtuloEstudoNota-CLGChar"/>
    <w:rsid w:val="00AF707D"/>
    <w:pPr>
      <w:spacing w:after="1200"/>
      <w:jc w:val="center"/>
    </w:pPr>
    <w:rPr>
      <w:b/>
      <w:bCs/>
      <w:sz w:val="34"/>
    </w:rPr>
  </w:style>
  <w:style w:type="character" w:customStyle="1" w:styleId="01-TtuloEstudoNota-CLGChar">
    <w:name w:val="01 - Título Estudo Nota - CLG Char"/>
    <w:link w:val="01-TtuloEstudoNota-CLG"/>
    <w:rsid w:val="00AF707D"/>
    <w:rPr>
      <w:b/>
      <w:bCs/>
      <w:sz w:val="34"/>
      <w:lang w:bidi="ar-SA"/>
    </w:rPr>
  </w:style>
  <w:style w:type="paragraph" w:customStyle="1" w:styleId="06-Pargrafodetexto-CLG">
    <w:name w:val="06 - Parágrafo de texto - CLG"/>
    <w:link w:val="06-Pargrafodetexto-CLGChar"/>
    <w:rsid w:val="00DF5C9A"/>
    <w:pPr>
      <w:spacing w:after="360"/>
      <w:ind w:firstLine="1418"/>
      <w:jc w:val="both"/>
    </w:pPr>
    <w:rPr>
      <w:sz w:val="28"/>
    </w:rPr>
  </w:style>
  <w:style w:type="character" w:customStyle="1" w:styleId="06-Pargrafodetexto-CLGChar">
    <w:name w:val="06 - Parágrafo de texto - CLG Char"/>
    <w:link w:val="06-Pargrafodetexto-CLG"/>
    <w:rsid w:val="00DF5C9A"/>
    <w:rPr>
      <w:sz w:val="28"/>
      <w:lang w:bidi="ar-SA"/>
    </w:rPr>
  </w:style>
  <w:style w:type="paragraph" w:customStyle="1" w:styleId="05-PargrafoNumeradoQA-CLG">
    <w:name w:val="05 - Parágrafo Numerado QA - CLG"/>
    <w:rsid w:val="00A82B86"/>
    <w:pPr>
      <w:numPr>
        <w:numId w:val="1"/>
      </w:numPr>
      <w:spacing w:after="360"/>
      <w:jc w:val="both"/>
    </w:pPr>
    <w:rPr>
      <w:sz w:val="28"/>
    </w:rPr>
  </w:style>
  <w:style w:type="paragraph" w:styleId="CabealhodoSumrio">
    <w:name w:val="TOC Heading"/>
    <w:basedOn w:val="Ttulo1"/>
    <w:next w:val="Normal"/>
    <w:uiPriority w:val="39"/>
    <w:qFormat/>
    <w:rsid w:val="003F2A25"/>
    <w:pPr>
      <w:keepLines/>
      <w:spacing w:before="480" w:line="276" w:lineRule="auto"/>
      <w:jc w:val="left"/>
      <w:outlineLvl w:val="9"/>
    </w:pPr>
    <w:rPr>
      <w:rFonts w:ascii="Cambria" w:hAnsi="Cambria"/>
      <w:b/>
      <w:bCs/>
      <w:color w:val="365F91"/>
      <w:szCs w:val="28"/>
    </w:rPr>
  </w:style>
  <w:style w:type="paragraph" w:styleId="Sumrio2">
    <w:name w:val="toc 2"/>
    <w:basedOn w:val="Normal"/>
    <w:next w:val="Normal"/>
    <w:autoRedefine/>
    <w:uiPriority w:val="39"/>
    <w:unhideWhenUsed/>
    <w:qFormat/>
    <w:rsid w:val="003F2A25"/>
    <w:pPr>
      <w:spacing w:after="100" w:line="276" w:lineRule="auto"/>
      <w:ind w:left="220"/>
    </w:pPr>
    <w:rPr>
      <w:rFonts w:ascii="Calibri" w:hAnsi="Calibri"/>
      <w:sz w:val="22"/>
      <w:szCs w:val="22"/>
    </w:rPr>
  </w:style>
  <w:style w:type="paragraph" w:styleId="Sumrio1">
    <w:name w:val="toc 1"/>
    <w:basedOn w:val="Normal"/>
    <w:next w:val="Normal"/>
    <w:autoRedefine/>
    <w:uiPriority w:val="39"/>
    <w:unhideWhenUsed/>
    <w:qFormat/>
    <w:rsid w:val="00A50631"/>
    <w:pPr>
      <w:spacing w:before="60" w:after="60"/>
    </w:pPr>
    <w:rPr>
      <w:smallCaps/>
      <w:sz w:val="28"/>
      <w:szCs w:val="22"/>
    </w:rPr>
  </w:style>
  <w:style w:type="paragraph" w:styleId="Sumrio3">
    <w:name w:val="toc 3"/>
    <w:basedOn w:val="Normal"/>
    <w:next w:val="Normal"/>
    <w:autoRedefine/>
    <w:uiPriority w:val="39"/>
    <w:unhideWhenUsed/>
    <w:qFormat/>
    <w:rsid w:val="003F2A25"/>
    <w:pPr>
      <w:spacing w:after="100" w:line="276" w:lineRule="auto"/>
      <w:ind w:left="440"/>
    </w:pPr>
    <w:rPr>
      <w:rFonts w:ascii="Calibri" w:hAnsi="Calibri"/>
      <w:sz w:val="22"/>
      <w:szCs w:val="22"/>
    </w:rPr>
  </w:style>
  <w:style w:type="paragraph" w:customStyle="1" w:styleId="01-Minuta-CLG">
    <w:name w:val="01 - Minuta - CLG"/>
    <w:link w:val="01-Minuta-CLGChar"/>
    <w:rsid w:val="00A44948"/>
    <w:pPr>
      <w:spacing w:after="180"/>
      <w:jc w:val="center"/>
    </w:pPr>
    <w:rPr>
      <w:sz w:val="24"/>
    </w:rPr>
  </w:style>
  <w:style w:type="paragraph" w:customStyle="1" w:styleId="02-TtuloPrincipal-CLG">
    <w:name w:val="02 - Título Principal - CLG"/>
    <w:link w:val="02-TtuloPrincipal-CLGChar"/>
    <w:rsid w:val="00A44948"/>
    <w:pPr>
      <w:spacing w:after="960"/>
      <w:jc w:val="center"/>
    </w:pPr>
    <w:rPr>
      <w:b/>
      <w:bCs/>
      <w:sz w:val="32"/>
    </w:rPr>
  </w:style>
  <w:style w:type="paragraph" w:customStyle="1" w:styleId="03-Ementa-CLG">
    <w:name w:val="03 - Ementa - CLG"/>
    <w:link w:val="03-Ementa-CLGChar"/>
    <w:rsid w:val="00A44948"/>
    <w:pPr>
      <w:spacing w:after="1440"/>
      <w:ind w:left="3686"/>
      <w:jc w:val="both"/>
    </w:pPr>
    <w:rPr>
      <w:sz w:val="24"/>
    </w:rPr>
  </w:style>
  <w:style w:type="paragraph" w:customStyle="1" w:styleId="06-Justificao-CLG">
    <w:name w:val="06 - Justificação - CLG"/>
    <w:link w:val="06-Justificao-CLGChar"/>
    <w:rsid w:val="00A44948"/>
    <w:pPr>
      <w:spacing w:before="600" w:after="480"/>
      <w:jc w:val="center"/>
    </w:pPr>
    <w:rPr>
      <w:b/>
      <w:bCs/>
      <w:sz w:val="28"/>
    </w:rPr>
  </w:style>
  <w:style w:type="paragraph" w:customStyle="1" w:styleId="05-Pargrafodetexto-CLG">
    <w:name w:val="05 - Parágrafo de texto - CLG"/>
    <w:link w:val="05-Pargrafodetexto-CLGChar"/>
    <w:rsid w:val="00A44948"/>
    <w:pPr>
      <w:spacing w:after="360"/>
      <w:ind w:firstLine="1418"/>
      <w:jc w:val="both"/>
    </w:pPr>
    <w:rPr>
      <w:sz w:val="28"/>
    </w:rPr>
  </w:style>
  <w:style w:type="paragraph" w:customStyle="1" w:styleId="09-Local-CLG">
    <w:name w:val="09 - Local - CLG"/>
    <w:link w:val="09-Local-CLGChar"/>
    <w:rsid w:val="00A44948"/>
    <w:pPr>
      <w:spacing w:before="960" w:after="720"/>
      <w:ind w:firstLine="2520"/>
      <w:jc w:val="both"/>
    </w:pPr>
    <w:rPr>
      <w:sz w:val="28"/>
    </w:rPr>
  </w:style>
  <w:style w:type="paragraph" w:customStyle="1" w:styleId="10-IdentificaoParlamentar-CLG">
    <w:name w:val="10 - Identificação Parlamentar - CLG"/>
    <w:link w:val="10-IdentificaoParlamentar-CLGChar"/>
    <w:rsid w:val="00A44948"/>
    <w:pPr>
      <w:spacing w:line="360" w:lineRule="auto"/>
      <w:ind w:left="3402"/>
    </w:pPr>
    <w:rPr>
      <w:color w:val="000000"/>
      <w:sz w:val="28"/>
      <w:szCs w:val="9"/>
    </w:rPr>
  </w:style>
  <w:style w:type="character" w:customStyle="1" w:styleId="01-Minuta-CLGChar">
    <w:name w:val="01 - Minuta - CLG Char"/>
    <w:link w:val="01-Minuta-CLG"/>
    <w:rsid w:val="00A44948"/>
    <w:rPr>
      <w:sz w:val="24"/>
      <w:lang w:val="pt-BR" w:eastAsia="pt-BR" w:bidi="ar-SA"/>
    </w:rPr>
  </w:style>
  <w:style w:type="character" w:customStyle="1" w:styleId="02-TtuloPrincipal-CLGChar">
    <w:name w:val="02 - Título Principal - CLG Char"/>
    <w:link w:val="02-TtuloPrincipal-CLG"/>
    <w:rsid w:val="00A44948"/>
    <w:rPr>
      <w:b/>
      <w:bCs/>
      <w:sz w:val="32"/>
      <w:lang w:val="pt-BR" w:eastAsia="pt-BR" w:bidi="ar-SA"/>
    </w:rPr>
  </w:style>
  <w:style w:type="character" w:customStyle="1" w:styleId="03-Ementa-CLGChar">
    <w:name w:val="03 - Ementa - CLG Char"/>
    <w:link w:val="03-Ementa-CLG"/>
    <w:rsid w:val="00A44948"/>
    <w:rPr>
      <w:sz w:val="24"/>
      <w:lang w:val="pt-BR" w:eastAsia="pt-BR" w:bidi="ar-SA"/>
    </w:rPr>
  </w:style>
  <w:style w:type="character" w:customStyle="1" w:styleId="05-Pargrafodetexto-CLGChar">
    <w:name w:val="05 - Parágrafo de texto - CLG Char"/>
    <w:link w:val="05-Pargrafodetexto-CLG"/>
    <w:rsid w:val="00A44948"/>
    <w:rPr>
      <w:sz w:val="28"/>
      <w:lang w:val="pt-BR" w:eastAsia="pt-BR" w:bidi="ar-SA"/>
    </w:rPr>
  </w:style>
  <w:style w:type="character" w:customStyle="1" w:styleId="06-Justificao-CLGChar">
    <w:name w:val="06 - Justificação - CLG Char"/>
    <w:link w:val="06-Justificao-CLG"/>
    <w:rsid w:val="00A44948"/>
    <w:rPr>
      <w:b/>
      <w:bCs/>
      <w:sz w:val="28"/>
      <w:lang w:val="pt-BR" w:eastAsia="pt-BR" w:bidi="ar-SA"/>
    </w:rPr>
  </w:style>
  <w:style w:type="character" w:customStyle="1" w:styleId="09-Local-CLGChar">
    <w:name w:val="09 - Local - CLG Char"/>
    <w:link w:val="09-Local-CLG"/>
    <w:rsid w:val="00A44948"/>
    <w:rPr>
      <w:sz w:val="28"/>
      <w:lang w:val="pt-BR" w:eastAsia="pt-BR" w:bidi="ar-SA"/>
    </w:rPr>
  </w:style>
  <w:style w:type="character" w:customStyle="1" w:styleId="10-IdentificaoParlamentar-CLGChar">
    <w:name w:val="10 - Identificação Parlamentar - CLG Char"/>
    <w:link w:val="10-IdentificaoParlamentar-CLG"/>
    <w:rsid w:val="00A44948"/>
    <w:rPr>
      <w:color w:val="000000"/>
      <w:sz w:val="28"/>
      <w:szCs w:val="9"/>
      <w:lang w:val="pt-BR" w:eastAsia="pt-BR" w:bidi="ar-SA"/>
    </w:rPr>
  </w:style>
  <w:style w:type="paragraph" w:customStyle="1" w:styleId="07-Citaolegal-CLG">
    <w:name w:val="07 - Citação legal - CLG"/>
    <w:rsid w:val="009B0391"/>
    <w:pPr>
      <w:spacing w:after="120"/>
      <w:ind w:left="1985" w:firstLine="567"/>
      <w:jc w:val="both"/>
    </w:pPr>
    <w:rPr>
      <w:bCs/>
      <w:sz w:val="24"/>
    </w:rPr>
  </w:style>
  <w:style w:type="character" w:customStyle="1" w:styleId="03-Ementa-CLGCharChar">
    <w:name w:val="03 - Ementa - CLG Char Char"/>
    <w:rsid w:val="009B0391"/>
    <w:rPr>
      <w:sz w:val="24"/>
      <w:lang w:val="pt-BR" w:eastAsia="pt-BR" w:bidi="ar-SA"/>
    </w:rPr>
  </w:style>
  <w:style w:type="paragraph" w:customStyle="1" w:styleId="p12">
    <w:name w:val="p12"/>
    <w:basedOn w:val="Normal"/>
    <w:rsid w:val="009B0391"/>
    <w:pPr>
      <w:spacing w:before="120" w:after="120"/>
      <w:ind w:left="1134" w:firstLine="284"/>
      <w:jc w:val="both"/>
    </w:pPr>
    <w:rPr>
      <w:rFonts w:ascii="Arial" w:hAnsi="Arial" w:cs="Arial"/>
      <w:sz w:val="20"/>
      <w:szCs w:val="20"/>
    </w:rPr>
  </w:style>
  <w:style w:type="paragraph" w:customStyle="1" w:styleId="Fontepargpadro1">
    <w:name w:val="Fonte parág. padrão1"/>
    <w:next w:val="Normal"/>
    <w:rsid w:val="002109B7"/>
    <w:rPr>
      <w:rFonts w:ascii="Courier" w:hAnsi="Courier"/>
    </w:rPr>
  </w:style>
  <w:style w:type="paragraph" w:styleId="ndicedeilustraes">
    <w:name w:val="table of figures"/>
    <w:basedOn w:val="Normal"/>
    <w:next w:val="Normal"/>
    <w:uiPriority w:val="99"/>
    <w:rsid w:val="00A50631"/>
    <w:pPr>
      <w:spacing w:before="60" w:after="60"/>
    </w:pPr>
    <w:rPr>
      <w:smallCaps/>
      <w:sz w:val="28"/>
    </w:rPr>
  </w:style>
  <w:style w:type="paragraph" w:customStyle="1" w:styleId="Ttulo0">
    <w:name w:val="Título +"/>
    <w:basedOn w:val="Ttulo"/>
    <w:rsid w:val="00E16077"/>
    <w:pPr>
      <w:keepNext/>
      <w:overflowPunct w:val="0"/>
      <w:autoSpaceDE w:val="0"/>
      <w:autoSpaceDN w:val="0"/>
      <w:adjustRightInd w:val="0"/>
      <w:spacing w:before="480" w:after="480"/>
      <w:jc w:val="both"/>
      <w:textAlignment w:val="baseline"/>
      <w:outlineLvl w:val="0"/>
    </w:pPr>
    <w:rPr>
      <w:bCs/>
      <w:smallCaps/>
      <w:sz w:val="28"/>
      <w:szCs w:val="28"/>
    </w:rPr>
  </w:style>
  <w:style w:type="paragraph" w:customStyle="1" w:styleId="Ttulo6">
    <w:name w:val="Título ++"/>
    <w:basedOn w:val="Normal"/>
    <w:rsid w:val="002109B7"/>
    <w:pPr>
      <w:keepNext/>
      <w:overflowPunct w:val="0"/>
      <w:autoSpaceDE w:val="0"/>
      <w:autoSpaceDN w:val="0"/>
      <w:adjustRightInd w:val="0"/>
      <w:spacing w:after="120"/>
      <w:jc w:val="center"/>
      <w:textAlignment w:val="baseline"/>
    </w:pPr>
    <w:rPr>
      <w:b/>
      <w:smallCaps/>
    </w:rPr>
  </w:style>
  <w:style w:type="paragraph" w:customStyle="1" w:styleId="Ttulo7">
    <w:name w:val="Título +++"/>
    <w:basedOn w:val="Normal"/>
    <w:rsid w:val="002109B7"/>
    <w:pPr>
      <w:keepNext/>
      <w:overflowPunct w:val="0"/>
      <w:autoSpaceDE w:val="0"/>
      <w:autoSpaceDN w:val="0"/>
      <w:adjustRightInd w:val="0"/>
      <w:spacing w:after="120"/>
      <w:jc w:val="center"/>
      <w:textAlignment w:val="baseline"/>
    </w:pPr>
    <w:rPr>
      <w:b/>
      <w:smallCaps/>
    </w:rPr>
  </w:style>
  <w:style w:type="character" w:customStyle="1" w:styleId="TextodenotaderodapChar">
    <w:name w:val="Texto de nota de rodapé Char"/>
    <w:basedOn w:val="Fontepargpadro"/>
    <w:link w:val="Textodenotaderodap"/>
    <w:uiPriority w:val="99"/>
    <w:rsid w:val="007275F9"/>
  </w:style>
  <w:style w:type="paragraph" w:customStyle="1" w:styleId="Recuodecorpodetexto21">
    <w:name w:val="Recuo de corpo de texto 21"/>
    <w:basedOn w:val="Normal"/>
    <w:rsid w:val="00BA7FB5"/>
    <w:pPr>
      <w:overflowPunct w:val="0"/>
      <w:autoSpaceDE w:val="0"/>
      <w:autoSpaceDN w:val="0"/>
      <w:adjustRightInd w:val="0"/>
      <w:spacing w:before="120" w:after="120" w:line="360" w:lineRule="auto"/>
      <w:ind w:firstLine="1418"/>
      <w:jc w:val="both"/>
      <w:textAlignment w:val="baseline"/>
    </w:pPr>
    <w:rPr>
      <w:sz w:val="28"/>
      <w:szCs w:val="20"/>
    </w:rPr>
  </w:style>
  <w:style w:type="paragraph" w:customStyle="1" w:styleId="Recuodecorpodetexto31">
    <w:name w:val="Recuo de corpo de texto 31"/>
    <w:basedOn w:val="Normal"/>
    <w:rsid w:val="00381347"/>
    <w:pPr>
      <w:overflowPunct w:val="0"/>
      <w:autoSpaceDE w:val="0"/>
      <w:autoSpaceDN w:val="0"/>
      <w:adjustRightInd w:val="0"/>
      <w:spacing w:line="360" w:lineRule="auto"/>
      <w:ind w:firstLine="708"/>
      <w:jc w:val="both"/>
      <w:textAlignment w:val="baseline"/>
    </w:pPr>
    <w:rPr>
      <w:sz w:val="28"/>
      <w:szCs w:val="20"/>
    </w:rPr>
  </w:style>
  <w:style w:type="paragraph" w:styleId="Legenda">
    <w:name w:val="caption"/>
    <w:basedOn w:val="Normal"/>
    <w:next w:val="Normal"/>
    <w:unhideWhenUsed/>
    <w:qFormat/>
    <w:rsid w:val="001C0B6C"/>
    <w:rPr>
      <w:b/>
      <w:bCs/>
      <w:sz w:val="20"/>
      <w:szCs w:val="20"/>
    </w:rPr>
  </w:style>
  <w:style w:type="character" w:customStyle="1" w:styleId="apple-converted-space">
    <w:name w:val="apple-converted-space"/>
    <w:basedOn w:val="Fontepargpadro"/>
    <w:rsid w:val="00237A15"/>
  </w:style>
  <w:style w:type="paragraph" w:customStyle="1" w:styleId="Estilo1">
    <w:name w:val="Estilo1"/>
    <w:basedOn w:val="04-PargrafodetextoEstudoNotas-CLG"/>
    <w:qFormat/>
    <w:rsid w:val="00340905"/>
    <w:pPr>
      <w:spacing w:before="120" w:line="240" w:lineRule="auto"/>
    </w:pPr>
    <w:rPr>
      <w:color w:val="333333"/>
      <w:szCs w:val="28"/>
      <w:shd w:val="clear" w:color="auto" w:fill="FFFFFF"/>
    </w:rPr>
  </w:style>
  <w:style w:type="character" w:styleId="nfase">
    <w:name w:val="Emphasis"/>
    <w:qFormat/>
    <w:rsid w:val="009972DB"/>
    <w:rPr>
      <w:i/>
      <w:iCs/>
    </w:rPr>
  </w:style>
  <w:style w:type="paragraph" w:styleId="Reviso">
    <w:name w:val="Revision"/>
    <w:hidden/>
    <w:uiPriority w:val="99"/>
    <w:semiHidden/>
    <w:rsid w:val="00D67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2579">
      <w:bodyDiv w:val="1"/>
      <w:marLeft w:val="0"/>
      <w:marRight w:val="0"/>
      <w:marTop w:val="0"/>
      <w:marBottom w:val="0"/>
      <w:divBdr>
        <w:top w:val="none" w:sz="0" w:space="0" w:color="auto"/>
        <w:left w:val="none" w:sz="0" w:space="0" w:color="auto"/>
        <w:bottom w:val="none" w:sz="0" w:space="0" w:color="auto"/>
        <w:right w:val="none" w:sz="0" w:space="0" w:color="auto"/>
      </w:divBdr>
    </w:div>
    <w:div w:id="56561062">
      <w:bodyDiv w:val="1"/>
      <w:marLeft w:val="0"/>
      <w:marRight w:val="0"/>
      <w:marTop w:val="0"/>
      <w:marBottom w:val="0"/>
      <w:divBdr>
        <w:top w:val="none" w:sz="0" w:space="0" w:color="auto"/>
        <w:left w:val="none" w:sz="0" w:space="0" w:color="auto"/>
        <w:bottom w:val="none" w:sz="0" w:space="0" w:color="auto"/>
        <w:right w:val="none" w:sz="0" w:space="0" w:color="auto"/>
      </w:divBdr>
      <w:divsChild>
        <w:div w:id="618802082">
          <w:marLeft w:val="0"/>
          <w:marRight w:val="0"/>
          <w:marTop w:val="0"/>
          <w:marBottom w:val="0"/>
          <w:divBdr>
            <w:top w:val="none" w:sz="0" w:space="0" w:color="auto"/>
            <w:left w:val="none" w:sz="0" w:space="0" w:color="auto"/>
            <w:bottom w:val="none" w:sz="0" w:space="0" w:color="auto"/>
            <w:right w:val="none" w:sz="0" w:space="0" w:color="auto"/>
          </w:divBdr>
        </w:div>
      </w:divsChild>
    </w:div>
    <w:div w:id="234126658">
      <w:bodyDiv w:val="1"/>
      <w:marLeft w:val="0"/>
      <w:marRight w:val="0"/>
      <w:marTop w:val="0"/>
      <w:marBottom w:val="0"/>
      <w:divBdr>
        <w:top w:val="none" w:sz="0" w:space="0" w:color="auto"/>
        <w:left w:val="none" w:sz="0" w:space="0" w:color="auto"/>
        <w:bottom w:val="none" w:sz="0" w:space="0" w:color="auto"/>
        <w:right w:val="none" w:sz="0" w:space="0" w:color="auto"/>
      </w:divBdr>
      <w:divsChild>
        <w:div w:id="1481656342">
          <w:marLeft w:val="0"/>
          <w:marRight w:val="0"/>
          <w:marTop w:val="0"/>
          <w:marBottom w:val="0"/>
          <w:divBdr>
            <w:top w:val="none" w:sz="0" w:space="0" w:color="auto"/>
            <w:left w:val="none" w:sz="0" w:space="0" w:color="auto"/>
            <w:bottom w:val="none" w:sz="0" w:space="0" w:color="auto"/>
            <w:right w:val="none" w:sz="0" w:space="0" w:color="auto"/>
          </w:divBdr>
          <w:divsChild>
            <w:div w:id="48498113">
              <w:marLeft w:val="0"/>
              <w:marRight w:val="0"/>
              <w:marTop w:val="0"/>
              <w:marBottom w:val="0"/>
              <w:divBdr>
                <w:top w:val="none" w:sz="0" w:space="0" w:color="auto"/>
                <w:left w:val="none" w:sz="0" w:space="0" w:color="auto"/>
                <w:bottom w:val="none" w:sz="0" w:space="0" w:color="auto"/>
                <w:right w:val="none" w:sz="0" w:space="0" w:color="auto"/>
              </w:divBdr>
            </w:div>
            <w:div w:id="4585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2622">
      <w:bodyDiv w:val="1"/>
      <w:marLeft w:val="0"/>
      <w:marRight w:val="0"/>
      <w:marTop w:val="0"/>
      <w:marBottom w:val="0"/>
      <w:divBdr>
        <w:top w:val="none" w:sz="0" w:space="0" w:color="auto"/>
        <w:left w:val="none" w:sz="0" w:space="0" w:color="auto"/>
        <w:bottom w:val="none" w:sz="0" w:space="0" w:color="auto"/>
        <w:right w:val="none" w:sz="0" w:space="0" w:color="auto"/>
      </w:divBdr>
      <w:divsChild>
        <w:div w:id="417556939">
          <w:marLeft w:val="0"/>
          <w:marRight w:val="0"/>
          <w:marTop w:val="240"/>
          <w:marBottom w:val="0"/>
          <w:divBdr>
            <w:top w:val="none" w:sz="0" w:space="0" w:color="auto"/>
            <w:left w:val="none" w:sz="0" w:space="0" w:color="auto"/>
            <w:bottom w:val="none" w:sz="0" w:space="0" w:color="auto"/>
            <w:right w:val="none" w:sz="0" w:space="0" w:color="auto"/>
          </w:divBdr>
        </w:div>
        <w:div w:id="1202326135">
          <w:marLeft w:val="0"/>
          <w:marRight w:val="0"/>
          <w:marTop w:val="240"/>
          <w:marBottom w:val="0"/>
          <w:divBdr>
            <w:top w:val="none" w:sz="0" w:space="0" w:color="auto"/>
            <w:left w:val="none" w:sz="0" w:space="0" w:color="auto"/>
            <w:bottom w:val="none" w:sz="0" w:space="0" w:color="auto"/>
            <w:right w:val="none" w:sz="0" w:space="0" w:color="auto"/>
          </w:divBdr>
        </w:div>
        <w:div w:id="1284654458">
          <w:marLeft w:val="0"/>
          <w:marRight w:val="0"/>
          <w:marTop w:val="240"/>
          <w:marBottom w:val="0"/>
          <w:divBdr>
            <w:top w:val="none" w:sz="0" w:space="0" w:color="auto"/>
            <w:left w:val="none" w:sz="0" w:space="0" w:color="auto"/>
            <w:bottom w:val="none" w:sz="0" w:space="0" w:color="auto"/>
            <w:right w:val="none" w:sz="0" w:space="0" w:color="auto"/>
          </w:divBdr>
        </w:div>
        <w:div w:id="2124573650">
          <w:marLeft w:val="0"/>
          <w:marRight w:val="0"/>
          <w:marTop w:val="240"/>
          <w:marBottom w:val="0"/>
          <w:divBdr>
            <w:top w:val="none" w:sz="0" w:space="0" w:color="auto"/>
            <w:left w:val="none" w:sz="0" w:space="0" w:color="auto"/>
            <w:bottom w:val="none" w:sz="0" w:space="0" w:color="auto"/>
            <w:right w:val="none" w:sz="0" w:space="0" w:color="auto"/>
          </w:divBdr>
        </w:div>
      </w:divsChild>
    </w:div>
    <w:div w:id="273482660">
      <w:bodyDiv w:val="1"/>
      <w:marLeft w:val="0"/>
      <w:marRight w:val="0"/>
      <w:marTop w:val="0"/>
      <w:marBottom w:val="0"/>
      <w:divBdr>
        <w:top w:val="none" w:sz="0" w:space="0" w:color="auto"/>
        <w:left w:val="none" w:sz="0" w:space="0" w:color="auto"/>
        <w:bottom w:val="none" w:sz="0" w:space="0" w:color="auto"/>
        <w:right w:val="none" w:sz="0" w:space="0" w:color="auto"/>
      </w:divBdr>
    </w:div>
    <w:div w:id="278537539">
      <w:bodyDiv w:val="1"/>
      <w:marLeft w:val="0"/>
      <w:marRight w:val="0"/>
      <w:marTop w:val="0"/>
      <w:marBottom w:val="0"/>
      <w:divBdr>
        <w:top w:val="none" w:sz="0" w:space="0" w:color="auto"/>
        <w:left w:val="none" w:sz="0" w:space="0" w:color="auto"/>
        <w:bottom w:val="none" w:sz="0" w:space="0" w:color="auto"/>
        <w:right w:val="none" w:sz="0" w:space="0" w:color="auto"/>
      </w:divBdr>
      <w:divsChild>
        <w:div w:id="537082187">
          <w:marLeft w:val="0"/>
          <w:marRight w:val="0"/>
          <w:marTop w:val="0"/>
          <w:marBottom w:val="0"/>
          <w:divBdr>
            <w:top w:val="none" w:sz="0" w:space="0" w:color="auto"/>
            <w:left w:val="none" w:sz="0" w:space="0" w:color="auto"/>
            <w:bottom w:val="none" w:sz="0" w:space="0" w:color="auto"/>
            <w:right w:val="none" w:sz="0" w:space="0" w:color="auto"/>
          </w:divBdr>
        </w:div>
      </w:divsChild>
    </w:div>
    <w:div w:id="304042055">
      <w:bodyDiv w:val="1"/>
      <w:marLeft w:val="0"/>
      <w:marRight w:val="0"/>
      <w:marTop w:val="0"/>
      <w:marBottom w:val="0"/>
      <w:divBdr>
        <w:top w:val="none" w:sz="0" w:space="0" w:color="auto"/>
        <w:left w:val="none" w:sz="0" w:space="0" w:color="auto"/>
        <w:bottom w:val="none" w:sz="0" w:space="0" w:color="auto"/>
        <w:right w:val="none" w:sz="0" w:space="0" w:color="auto"/>
      </w:divBdr>
      <w:divsChild>
        <w:div w:id="929506731">
          <w:marLeft w:val="0"/>
          <w:marRight w:val="0"/>
          <w:marTop w:val="105"/>
          <w:marBottom w:val="0"/>
          <w:divBdr>
            <w:top w:val="none" w:sz="0" w:space="0" w:color="auto"/>
            <w:left w:val="none" w:sz="0" w:space="0" w:color="auto"/>
            <w:bottom w:val="none" w:sz="0" w:space="0" w:color="auto"/>
            <w:right w:val="none" w:sz="0" w:space="0" w:color="auto"/>
          </w:divBdr>
        </w:div>
        <w:div w:id="1124614166">
          <w:marLeft w:val="0"/>
          <w:marRight w:val="0"/>
          <w:marTop w:val="105"/>
          <w:marBottom w:val="0"/>
          <w:divBdr>
            <w:top w:val="none" w:sz="0" w:space="0" w:color="auto"/>
            <w:left w:val="none" w:sz="0" w:space="0" w:color="auto"/>
            <w:bottom w:val="none" w:sz="0" w:space="0" w:color="auto"/>
            <w:right w:val="none" w:sz="0" w:space="0" w:color="auto"/>
          </w:divBdr>
        </w:div>
      </w:divsChild>
    </w:div>
    <w:div w:id="319769648">
      <w:bodyDiv w:val="1"/>
      <w:marLeft w:val="0"/>
      <w:marRight w:val="0"/>
      <w:marTop w:val="0"/>
      <w:marBottom w:val="0"/>
      <w:divBdr>
        <w:top w:val="none" w:sz="0" w:space="0" w:color="auto"/>
        <w:left w:val="none" w:sz="0" w:space="0" w:color="auto"/>
        <w:bottom w:val="none" w:sz="0" w:space="0" w:color="auto"/>
        <w:right w:val="none" w:sz="0" w:space="0" w:color="auto"/>
      </w:divBdr>
      <w:divsChild>
        <w:div w:id="842016177">
          <w:marLeft w:val="0"/>
          <w:marRight w:val="0"/>
          <w:marTop w:val="0"/>
          <w:marBottom w:val="0"/>
          <w:divBdr>
            <w:top w:val="none" w:sz="0" w:space="0" w:color="auto"/>
            <w:left w:val="none" w:sz="0" w:space="0" w:color="auto"/>
            <w:bottom w:val="none" w:sz="0" w:space="0" w:color="auto"/>
            <w:right w:val="none" w:sz="0" w:space="0" w:color="auto"/>
          </w:divBdr>
          <w:divsChild>
            <w:div w:id="355235005">
              <w:marLeft w:val="0"/>
              <w:marRight w:val="0"/>
              <w:marTop w:val="0"/>
              <w:marBottom w:val="0"/>
              <w:divBdr>
                <w:top w:val="none" w:sz="0" w:space="0" w:color="auto"/>
                <w:left w:val="none" w:sz="0" w:space="0" w:color="auto"/>
                <w:bottom w:val="none" w:sz="0" w:space="0" w:color="auto"/>
                <w:right w:val="none" w:sz="0" w:space="0" w:color="auto"/>
              </w:divBdr>
            </w:div>
            <w:div w:id="436604497">
              <w:marLeft w:val="0"/>
              <w:marRight w:val="0"/>
              <w:marTop w:val="0"/>
              <w:marBottom w:val="0"/>
              <w:divBdr>
                <w:top w:val="none" w:sz="0" w:space="0" w:color="auto"/>
                <w:left w:val="none" w:sz="0" w:space="0" w:color="auto"/>
                <w:bottom w:val="none" w:sz="0" w:space="0" w:color="auto"/>
                <w:right w:val="none" w:sz="0" w:space="0" w:color="auto"/>
              </w:divBdr>
            </w:div>
            <w:div w:id="1160970362">
              <w:marLeft w:val="0"/>
              <w:marRight w:val="0"/>
              <w:marTop w:val="0"/>
              <w:marBottom w:val="0"/>
              <w:divBdr>
                <w:top w:val="none" w:sz="0" w:space="0" w:color="auto"/>
                <w:left w:val="none" w:sz="0" w:space="0" w:color="auto"/>
                <w:bottom w:val="none" w:sz="0" w:space="0" w:color="auto"/>
                <w:right w:val="none" w:sz="0" w:space="0" w:color="auto"/>
              </w:divBdr>
            </w:div>
            <w:div w:id="13135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0127">
      <w:bodyDiv w:val="1"/>
      <w:marLeft w:val="0"/>
      <w:marRight w:val="0"/>
      <w:marTop w:val="0"/>
      <w:marBottom w:val="0"/>
      <w:divBdr>
        <w:top w:val="none" w:sz="0" w:space="0" w:color="auto"/>
        <w:left w:val="none" w:sz="0" w:space="0" w:color="auto"/>
        <w:bottom w:val="none" w:sz="0" w:space="0" w:color="auto"/>
        <w:right w:val="none" w:sz="0" w:space="0" w:color="auto"/>
      </w:divBdr>
      <w:divsChild>
        <w:div w:id="278534600">
          <w:marLeft w:val="0"/>
          <w:marRight w:val="0"/>
          <w:marTop w:val="0"/>
          <w:marBottom w:val="0"/>
          <w:divBdr>
            <w:top w:val="none" w:sz="0" w:space="0" w:color="auto"/>
            <w:left w:val="none" w:sz="0" w:space="0" w:color="auto"/>
            <w:bottom w:val="none" w:sz="0" w:space="0" w:color="auto"/>
            <w:right w:val="none" w:sz="0" w:space="0" w:color="auto"/>
          </w:divBdr>
        </w:div>
      </w:divsChild>
    </w:div>
    <w:div w:id="365181755">
      <w:bodyDiv w:val="1"/>
      <w:marLeft w:val="0"/>
      <w:marRight w:val="0"/>
      <w:marTop w:val="0"/>
      <w:marBottom w:val="0"/>
      <w:divBdr>
        <w:top w:val="none" w:sz="0" w:space="0" w:color="auto"/>
        <w:left w:val="none" w:sz="0" w:space="0" w:color="auto"/>
        <w:bottom w:val="none" w:sz="0" w:space="0" w:color="auto"/>
        <w:right w:val="none" w:sz="0" w:space="0" w:color="auto"/>
      </w:divBdr>
    </w:div>
    <w:div w:id="367141587">
      <w:bodyDiv w:val="1"/>
      <w:marLeft w:val="0"/>
      <w:marRight w:val="0"/>
      <w:marTop w:val="0"/>
      <w:marBottom w:val="0"/>
      <w:divBdr>
        <w:top w:val="none" w:sz="0" w:space="0" w:color="auto"/>
        <w:left w:val="none" w:sz="0" w:space="0" w:color="auto"/>
        <w:bottom w:val="none" w:sz="0" w:space="0" w:color="auto"/>
        <w:right w:val="none" w:sz="0" w:space="0" w:color="auto"/>
      </w:divBdr>
      <w:divsChild>
        <w:div w:id="276648279">
          <w:marLeft w:val="0"/>
          <w:marRight w:val="0"/>
          <w:marTop w:val="105"/>
          <w:marBottom w:val="0"/>
          <w:divBdr>
            <w:top w:val="none" w:sz="0" w:space="0" w:color="auto"/>
            <w:left w:val="none" w:sz="0" w:space="0" w:color="auto"/>
            <w:bottom w:val="none" w:sz="0" w:space="0" w:color="auto"/>
            <w:right w:val="none" w:sz="0" w:space="0" w:color="auto"/>
          </w:divBdr>
        </w:div>
        <w:div w:id="577983691">
          <w:marLeft w:val="0"/>
          <w:marRight w:val="0"/>
          <w:marTop w:val="105"/>
          <w:marBottom w:val="0"/>
          <w:divBdr>
            <w:top w:val="none" w:sz="0" w:space="0" w:color="auto"/>
            <w:left w:val="none" w:sz="0" w:space="0" w:color="auto"/>
            <w:bottom w:val="none" w:sz="0" w:space="0" w:color="auto"/>
            <w:right w:val="none" w:sz="0" w:space="0" w:color="auto"/>
          </w:divBdr>
        </w:div>
        <w:div w:id="639505833">
          <w:marLeft w:val="0"/>
          <w:marRight w:val="0"/>
          <w:marTop w:val="105"/>
          <w:marBottom w:val="0"/>
          <w:divBdr>
            <w:top w:val="none" w:sz="0" w:space="0" w:color="auto"/>
            <w:left w:val="none" w:sz="0" w:space="0" w:color="auto"/>
            <w:bottom w:val="none" w:sz="0" w:space="0" w:color="auto"/>
            <w:right w:val="none" w:sz="0" w:space="0" w:color="auto"/>
          </w:divBdr>
        </w:div>
      </w:divsChild>
    </w:div>
    <w:div w:id="396242575">
      <w:bodyDiv w:val="1"/>
      <w:marLeft w:val="0"/>
      <w:marRight w:val="0"/>
      <w:marTop w:val="0"/>
      <w:marBottom w:val="0"/>
      <w:divBdr>
        <w:top w:val="none" w:sz="0" w:space="0" w:color="auto"/>
        <w:left w:val="none" w:sz="0" w:space="0" w:color="auto"/>
        <w:bottom w:val="none" w:sz="0" w:space="0" w:color="auto"/>
        <w:right w:val="none" w:sz="0" w:space="0" w:color="auto"/>
      </w:divBdr>
      <w:divsChild>
        <w:div w:id="50857605">
          <w:marLeft w:val="0"/>
          <w:marRight w:val="0"/>
          <w:marTop w:val="0"/>
          <w:marBottom w:val="0"/>
          <w:divBdr>
            <w:top w:val="none" w:sz="0" w:space="0" w:color="auto"/>
            <w:left w:val="none" w:sz="0" w:space="0" w:color="auto"/>
            <w:bottom w:val="none" w:sz="0" w:space="0" w:color="auto"/>
            <w:right w:val="none" w:sz="0" w:space="0" w:color="auto"/>
          </w:divBdr>
          <w:divsChild>
            <w:div w:id="91365462">
              <w:marLeft w:val="0"/>
              <w:marRight w:val="0"/>
              <w:marTop w:val="0"/>
              <w:marBottom w:val="0"/>
              <w:divBdr>
                <w:top w:val="none" w:sz="0" w:space="0" w:color="auto"/>
                <w:left w:val="none" w:sz="0" w:space="0" w:color="auto"/>
                <w:bottom w:val="none" w:sz="0" w:space="0" w:color="auto"/>
                <w:right w:val="none" w:sz="0" w:space="0" w:color="auto"/>
              </w:divBdr>
            </w:div>
            <w:div w:id="575095990">
              <w:marLeft w:val="0"/>
              <w:marRight w:val="0"/>
              <w:marTop w:val="0"/>
              <w:marBottom w:val="0"/>
              <w:divBdr>
                <w:top w:val="none" w:sz="0" w:space="0" w:color="auto"/>
                <w:left w:val="none" w:sz="0" w:space="0" w:color="auto"/>
                <w:bottom w:val="none" w:sz="0" w:space="0" w:color="auto"/>
                <w:right w:val="none" w:sz="0" w:space="0" w:color="auto"/>
              </w:divBdr>
            </w:div>
            <w:div w:id="1008604870">
              <w:marLeft w:val="0"/>
              <w:marRight w:val="0"/>
              <w:marTop w:val="0"/>
              <w:marBottom w:val="0"/>
              <w:divBdr>
                <w:top w:val="none" w:sz="0" w:space="0" w:color="auto"/>
                <w:left w:val="none" w:sz="0" w:space="0" w:color="auto"/>
                <w:bottom w:val="none" w:sz="0" w:space="0" w:color="auto"/>
                <w:right w:val="none" w:sz="0" w:space="0" w:color="auto"/>
              </w:divBdr>
            </w:div>
            <w:div w:id="1199902197">
              <w:marLeft w:val="0"/>
              <w:marRight w:val="0"/>
              <w:marTop w:val="0"/>
              <w:marBottom w:val="0"/>
              <w:divBdr>
                <w:top w:val="none" w:sz="0" w:space="0" w:color="auto"/>
                <w:left w:val="none" w:sz="0" w:space="0" w:color="auto"/>
                <w:bottom w:val="none" w:sz="0" w:space="0" w:color="auto"/>
                <w:right w:val="none" w:sz="0" w:space="0" w:color="auto"/>
              </w:divBdr>
            </w:div>
            <w:div w:id="1339113356">
              <w:marLeft w:val="0"/>
              <w:marRight w:val="0"/>
              <w:marTop w:val="0"/>
              <w:marBottom w:val="0"/>
              <w:divBdr>
                <w:top w:val="none" w:sz="0" w:space="0" w:color="auto"/>
                <w:left w:val="none" w:sz="0" w:space="0" w:color="auto"/>
                <w:bottom w:val="none" w:sz="0" w:space="0" w:color="auto"/>
                <w:right w:val="none" w:sz="0" w:space="0" w:color="auto"/>
              </w:divBdr>
            </w:div>
            <w:div w:id="1575552813">
              <w:marLeft w:val="0"/>
              <w:marRight w:val="0"/>
              <w:marTop w:val="0"/>
              <w:marBottom w:val="0"/>
              <w:divBdr>
                <w:top w:val="none" w:sz="0" w:space="0" w:color="auto"/>
                <w:left w:val="none" w:sz="0" w:space="0" w:color="auto"/>
                <w:bottom w:val="none" w:sz="0" w:space="0" w:color="auto"/>
                <w:right w:val="none" w:sz="0" w:space="0" w:color="auto"/>
              </w:divBdr>
            </w:div>
            <w:div w:id="1691371123">
              <w:marLeft w:val="0"/>
              <w:marRight w:val="0"/>
              <w:marTop w:val="0"/>
              <w:marBottom w:val="0"/>
              <w:divBdr>
                <w:top w:val="none" w:sz="0" w:space="0" w:color="auto"/>
                <w:left w:val="none" w:sz="0" w:space="0" w:color="auto"/>
                <w:bottom w:val="none" w:sz="0" w:space="0" w:color="auto"/>
                <w:right w:val="none" w:sz="0" w:space="0" w:color="auto"/>
              </w:divBdr>
            </w:div>
            <w:div w:id="1896045863">
              <w:marLeft w:val="0"/>
              <w:marRight w:val="0"/>
              <w:marTop w:val="0"/>
              <w:marBottom w:val="0"/>
              <w:divBdr>
                <w:top w:val="none" w:sz="0" w:space="0" w:color="auto"/>
                <w:left w:val="none" w:sz="0" w:space="0" w:color="auto"/>
                <w:bottom w:val="none" w:sz="0" w:space="0" w:color="auto"/>
                <w:right w:val="none" w:sz="0" w:space="0" w:color="auto"/>
              </w:divBdr>
            </w:div>
            <w:div w:id="20517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2550">
      <w:bodyDiv w:val="1"/>
      <w:marLeft w:val="0"/>
      <w:marRight w:val="0"/>
      <w:marTop w:val="0"/>
      <w:marBottom w:val="0"/>
      <w:divBdr>
        <w:top w:val="none" w:sz="0" w:space="0" w:color="auto"/>
        <w:left w:val="none" w:sz="0" w:space="0" w:color="auto"/>
        <w:bottom w:val="none" w:sz="0" w:space="0" w:color="auto"/>
        <w:right w:val="none" w:sz="0" w:space="0" w:color="auto"/>
      </w:divBdr>
      <w:divsChild>
        <w:div w:id="848445735">
          <w:marLeft w:val="0"/>
          <w:marRight w:val="0"/>
          <w:marTop w:val="0"/>
          <w:marBottom w:val="0"/>
          <w:divBdr>
            <w:top w:val="none" w:sz="0" w:space="0" w:color="auto"/>
            <w:left w:val="none" w:sz="0" w:space="0" w:color="auto"/>
            <w:bottom w:val="none" w:sz="0" w:space="0" w:color="auto"/>
            <w:right w:val="none" w:sz="0" w:space="0" w:color="auto"/>
          </w:divBdr>
          <w:divsChild>
            <w:div w:id="140781458">
              <w:marLeft w:val="0"/>
              <w:marRight w:val="0"/>
              <w:marTop w:val="0"/>
              <w:marBottom w:val="0"/>
              <w:divBdr>
                <w:top w:val="none" w:sz="0" w:space="0" w:color="auto"/>
                <w:left w:val="none" w:sz="0" w:space="0" w:color="auto"/>
                <w:bottom w:val="none" w:sz="0" w:space="0" w:color="auto"/>
                <w:right w:val="none" w:sz="0" w:space="0" w:color="auto"/>
              </w:divBdr>
            </w:div>
            <w:div w:id="224950517">
              <w:marLeft w:val="0"/>
              <w:marRight w:val="0"/>
              <w:marTop w:val="0"/>
              <w:marBottom w:val="0"/>
              <w:divBdr>
                <w:top w:val="none" w:sz="0" w:space="0" w:color="auto"/>
                <w:left w:val="none" w:sz="0" w:space="0" w:color="auto"/>
                <w:bottom w:val="none" w:sz="0" w:space="0" w:color="auto"/>
                <w:right w:val="none" w:sz="0" w:space="0" w:color="auto"/>
              </w:divBdr>
            </w:div>
            <w:div w:id="476729713">
              <w:marLeft w:val="0"/>
              <w:marRight w:val="0"/>
              <w:marTop w:val="0"/>
              <w:marBottom w:val="0"/>
              <w:divBdr>
                <w:top w:val="none" w:sz="0" w:space="0" w:color="auto"/>
                <w:left w:val="none" w:sz="0" w:space="0" w:color="auto"/>
                <w:bottom w:val="none" w:sz="0" w:space="0" w:color="auto"/>
                <w:right w:val="none" w:sz="0" w:space="0" w:color="auto"/>
              </w:divBdr>
            </w:div>
            <w:div w:id="1244101830">
              <w:marLeft w:val="0"/>
              <w:marRight w:val="0"/>
              <w:marTop w:val="0"/>
              <w:marBottom w:val="0"/>
              <w:divBdr>
                <w:top w:val="none" w:sz="0" w:space="0" w:color="auto"/>
                <w:left w:val="none" w:sz="0" w:space="0" w:color="auto"/>
                <w:bottom w:val="none" w:sz="0" w:space="0" w:color="auto"/>
                <w:right w:val="none" w:sz="0" w:space="0" w:color="auto"/>
              </w:divBdr>
            </w:div>
            <w:div w:id="1807158187">
              <w:marLeft w:val="0"/>
              <w:marRight w:val="0"/>
              <w:marTop w:val="0"/>
              <w:marBottom w:val="0"/>
              <w:divBdr>
                <w:top w:val="none" w:sz="0" w:space="0" w:color="auto"/>
                <w:left w:val="none" w:sz="0" w:space="0" w:color="auto"/>
                <w:bottom w:val="none" w:sz="0" w:space="0" w:color="auto"/>
                <w:right w:val="none" w:sz="0" w:space="0" w:color="auto"/>
              </w:divBdr>
            </w:div>
            <w:div w:id="1849248343">
              <w:marLeft w:val="0"/>
              <w:marRight w:val="0"/>
              <w:marTop w:val="0"/>
              <w:marBottom w:val="0"/>
              <w:divBdr>
                <w:top w:val="none" w:sz="0" w:space="0" w:color="auto"/>
                <w:left w:val="none" w:sz="0" w:space="0" w:color="auto"/>
                <w:bottom w:val="none" w:sz="0" w:space="0" w:color="auto"/>
                <w:right w:val="none" w:sz="0" w:space="0" w:color="auto"/>
              </w:divBdr>
            </w:div>
            <w:div w:id="1950966234">
              <w:marLeft w:val="0"/>
              <w:marRight w:val="0"/>
              <w:marTop w:val="0"/>
              <w:marBottom w:val="0"/>
              <w:divBdr>
                <w:top w:val="none" w:sz="0" w:space="0" w:color="auto"/>
                <w:left w:val="none" w:sz="0" w:space="0" w:color="auto"/>
                <w:bottom w:val="none" w:sz="0" w:space="0" w:color="auto"/>
                <w:right w:val="none" w:sz="0" w:space="0" w:color="auto"/>
              </w:divBdr>
            </w:div>
            <w:div w:id="2016417353">
              <w:marLeft w:val="0"/>
              <w:marRight w:val="0"/>
              <w:marTop w:val="0"/>
              <w:marBottom w:val="0"/>
              <w:divBdr>
                <w:top w:val="none" w:sz="0" w:space="0" w:color="auto"/>
                <w:left w:val="none" w:sz="0" w:space="0" w:color="auto"/>
                <w:bottom w:val="none" w:sz="0" w:space="0" w:color="auto"/>
                <w:right w:val="none" w:sz="0" w:space="0" w:color="auto"/>
              </w:divBdr>
            </w:div>
            <w:div w:id="20659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6331">
      <w:bodyDiv w:val="1"/>
      <w:marLeft w:val="0"/>
      <w:marRight w:val="0"/>
      <w:marTop w:val="0"/>
      <w:marBottom w:val="0"/>
      <w:divBdr>
        <w:top w:val="none" w:sz="0" w:space="0" w:color="auto"/>
        <w:left w:val="none" w:sz="0" w:space="0" w:color="auto"/>
        <w:bottom w:val="none" w:sz="0" w:space="0" w:color="auto"/>
        <w:right w:val="none" w:sz="0" w:space="0" w:color="auto"/>
      </w:divBdr>
      <w:divsChild>
        <w:div w:id="1665670797">
          <w:marLeft w:val="0"/>
          <w:marRight w:val="0"/>
          <w:marTop w:val="0"/>
          <w:marBottom w:val="0"/>
          <w:divBdr>
            <w:top w:val="none" w:sz="0" w:space="0" w:color="auto"/>
            <w:left w:val="none" w:sz="0" w:space="0" w:color="auto"/>
            <w:bottom w:val="none" w:sz="0" w:space="0" w:color="auto"/>
            <w:right w:val="none" w:sz="0" w:space="0" w:color="auto"/>
          </w:divBdr>
          <w:divsChild>
            <w:div w:id="2895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9103">
      <w:bodyDiv w:val="1"/>
      <w:marLeft w:val="0"/>
      <w:marRight w:val="0"/>
      <w:marTop w:val="0"/>
      <w:marBottom w:val="0"/>
      <w:divBdr>
        <w:top w:val="none" w:sz="0" w:space="0" w:color="auto"/>
        <w:left w:val="none" w:sz="0" w:space="0" w:color="auto"/>
        <w:bottom w:val="none" w:sz="0" w:space="0" w:color="auto"/>
        <w:right w:val="none" w:sz="0" w:space="0" w:color="auto"/>
      </w:divBdr>
      <w:divsChild>
        <w:div w:id="294993456">
          <w:marLeft w:val="0"/>
          <w:marRight w:val="0"/>
          <w:marTop w:val="105"/>
          <w:marBottom w:val="0"/>
          <w:divBdr>
            <w:top w:val="none" w:sz="0" w:space="0" w:color="auto"/>
            <w:left w:val="none" w:sz="0" w:space="0" w:color="auto"/>
            <w:bottom w:val="none" w:sz="0" w:space="0" w:color="auto"/>
            <w:right w:val="none" w:sz="0" w:space="0" w:color="auto"/>
          </w:divBdr>
        </w:div>
        <w:div w:id="519242475">
          <w:marLeft w:val="0"/>
          <w:marRight w:val="0"/>
          <w:marTop w:val="105"/>
          <w:marBottom w:val="0"/>
          <w:divBdr>
            <w:top w:val="none" w:sz="0" w:space="0" w:color="auto"/>
            <w:left w:val="none" w:sz="0" w:space="0" w:color="auto"/>
            <w:bottom w:val="none" w:sz="0" w:space="0" w:color="auto"/>
            <w:right w:val="none" w:sz="0" w:space="0" w:color="auto"/>
          </w:divBdr>
        </w:div>
        <w:div w:id="1079715503">
          <w:marLeft w:val="0"/>
          <w:marRight w:val="0"/>
          <w:marTop w:val="105"/>
          <w:marBottom w:val="0"/>
          <w:divBdr>
            <w:top w:val="none" w:sz="0" w:space="0" w:color="auto"/>
            <w:left w:val="none" w:sz="0" w:space="0" w:color="auto"/>
            <w:bottom w:val="none" w:sz="0" w:space="0" w:color="auto"/>
            <w:right w:val="none" w:sz="0" w:space="0" w:color="auto"/>
          </w:divBdr>
        </w:div>
        <w:div w:id="1305089341">
          <w:marLeft w:val="0"/>
          <w:marRight w:val="0"/>
          <w:marTop w:val="105"/>
          <w:marBottom w:val="0"/>
          <w:divBdr>
            <w:top w:val="none" w:sz="0" w:space="0" w:color="auto"/>
            <w:left w:val="none" w:sz="0" w:space="0" w:color="auto"/>
            <w:bottom w:val="none" w:sz="0" w:space="0" w:color="auto"/>
            <w:right w:val="none" w:sz="0" w:space="0" w:color="auto"/>
          </w:divBdr>
        </w:div>
        <w:div w:id="1769039062">
          <w:marLeft w:val="0"/>
          <w:marRight w:val="0"/>
          <w:marTop w:val="105"/>
          <w:marBottom w:val="0"/>
          <w:divBdr>
            <w:top w:val="none" w:sz="0" w:space="0" w:color="auto"/>
            <w:left w:val="none" w:sz="0" w:space="0" w:color="auto"/>
            <w:bottom w:val="none" w:sz="0" w:space="0" w:color="auto"/>
            <w:right w:val="none" w:sz="0" w:space="0" w:color="auto"/>
          </w:divBdr>
        </w:div>
      </w:divsChild>
    </w:div>
    <w:div w:id="405105414">
      <w:bodyDiv w:val="1"/>
      <w:marLeft w:val="0"/>
      <w:marRight w:val="0"/>
      <w:marTop w:val="0"/>
      <w:marBottom w:val="0"/>
      <w:divBdr>
        <w:top w:val="none" w:sz="0" w:space="0" w:color="auto"/>
        <w:left w:val="none" w:sz="0" w:space="0" w:color="auto"/>
        <w:bottom w:val="none" w:sz="0" w:space="0" w:color="auto"/>
        <w:right w:val="none" w:sz="0" w:space="0" w:color="auto"/>
      </w:divBdr>
      <w:divsChild>
        <w:div w:id="708116737">
          <w:marLeft w:val="0"/>
          <w:marRight w:val="0"/>
          <w:marTop w:val="0"/>
          <w:marBottom w:val="0"/>
          <w:divBdr>
            <w:top w:val="none" w:sz="0" w:space="0" w:color="auto"/>
            <w:left w:val="none" w:sz="0" w:space="0" w:color="auto"/>
            <w:bottom w:val="none" w:sz="0" w:space="0" w:color="auto"/>
            <w:right w:val="none" w:sz="0" w:space="0" w:color="auto"/>
          </w:divBdr>
        </w:div>
      </w:divsChild>
    </w:div>
    <w:div w:id="439958401">
      <w:bodyDiv w:val="1"/>
      <w:marLeft w:val="0"/>
      <w:marRight w:val="0"/>
      <w:marTop w:val="0"/>
      <w:marBottom w:val="0"/>
      <w:divBdr>
        <w:top w:val="none" w:sz="0" w:space="0" w:color="auto"/>
        <w:left w:val="none" w:sz="0" w:space="0" w:color="auto"/>
        <w:bottom w:val="none" w:sz="0" w:space="0" w:color="auto"/>
        <w:right w:val="none" w:sz="0" w:space="0" w:color="auto"/>
      </w:divBdr>
      <w:divsChild>
        <w:div w:id="255985822">
          <w:marLeft w:val="0"/>
          <w:marRight w:val="0"/>
          <w:marTop w:val="0"/>
          <w:marBottom w:val="0"/>
          <w:divBdr>
            <w:top w:val="none" w:sz="0" w:space="0" w:color="auto"/>
            <w:left w:val="none" w:sz="0" w:space="0" w:color="auto"/>
            <w:bottom w:val="none" w:sz="0" w:space="0" w:color="auto"/>
            <w:right w:val="none" w:sz="0" w:space="0" w:color="auto"/>
          </w:divBdr>
        </w:div>
      </w:divsChild>
    </w:div>
    <w:div w:id="486089295">
      <w:bodyDiv w:val="1"/>
      <w:marLeft w:val="0"/>
      <w:marRight w:val="0"/>
      <w:marTop w:val="0"/>
      <w:marBottom w:val="0"/>
      <w:divBdr>
        <w:top w:val="none" w:sz="0" w:space="0" w:color="auto"/>
        <w:left w:val="none" w:sz="0" w:space="0" w:color="auto"/>
        <w:bottom w:val="none" w:sz="0" w:space="0" w:color="auto"/>
        <w:right w:val="none" w:sz="0" w:space="0" w:color="auto"/>
      </w:divBdr>
      <w:divsChild>
        <w:div w:id="300040224">
          <w:marLeft w:val="576"/>
          <w:marRight w:val="0"/>
          <w:marTop w:val="79"/>
          <w:marBottom w:val="0"/>
          <w:divBdr>
            <w:top w:val="none" w:sz="0" w:space="0" w:color="auto"/>
            <w:left w:val="none" w:sz="0" w:space="0" w:color="auto"/>
            <w:bottom w:val="none" w:sz="0" w:space="0" w:color="auto"/>
            <w:right w:val="none" w:sz="0" w:space="0" w:color="auto"/>
          </w:divBdr>
        </w:div>
        <w:div w:id="341857015">
          <w:marLeft w:val="576"/>
          <w:marRight w:val="0"/>
          <w:marTop w:val="79"/>
          <w:marBottom w:val="0"/>
          <w:divBdr>
            <w:top w:val="none" w:sz="0" w:space="0" w:color="auto"/>
            <w:left w:val="none" w:sz="0" w:space="0" w:color="auto"/>
            <w:bottom w:val="none" w:sz="0" w:space="0" w:color="auto"/>
            <w:right w:val="none" w:sz="0" w:space="0" w:color="auto"/>
          </w:divBdr>
        </w:div>
        <w:div w:id="1861897950">
          <w:marLeft w:val="576"/>
          <w:marRight w:val="0"/>
          <w:marTop w:val="79"/>
          <w:marBottom w:val="0"/>
          <w:divBdr>
            <w:top w:val="none" w:sz="0" w:space="0" w:color="auto"/>
            <w:left w:val="none" w:sz="0" w:space="0" w:color="auto"/>
            <w:bottom w:val="none" w:sz="0" w:space="0" w:color="auto"/>
            <w:right w:val="none" w:sz="0" w:space="0" w:color="auto"/>
          </w:divBdr>
        </w:div>
        <w:div w:id="2086217986">
          <w:marLeft w:val="576"/>
          <w:marRight w:val="0"/>
          <w:marTop w:val="79"/>
          <w:marBottom w:val="0"/>
          <w:divBdr>
            <w:top w:val="none" w:sz="0" w:space="0" w:color="auto"/>
            <w:left w:val="none" w:sz="0" w:space="0" w:color="auto"/>
            <w:bottom w:val="none" w:sz="0" w:space="0" w:color="auto"/>
            <w:right w:val="none" w:sz="0" w:space="0" w:color="auto"/>
          </w:divBdr>
        </w:div>
      </w:divsChild>
    </w:div>
    <w:div w:id="489560796">
      <w:bodyDiv w:val="1"/>
      <w:marLeft w:val="0"/>
      <w:marRight w:val="0"/>
      <w:marTop w:val="0"/>
      <w:marBottom w:val="0"/>
      <w:divBdr>
        <w:top w:val="none" w:sz="0" w:space="0" w:color="auto"/>
        <w:left w:val="none" w:sz="0" w:space="0" w:color="auto"/>
        <w:bottom w:val="none" w:sz="0" w:space="0" w:color="auto"/>
        <w:right w:val="none" w:sz="0" w:space="0" w:color="auto"/>
      </w:divBdr>
    </w:div>
    <w:div w:id="523984745">
      <w:bodyDiv w:val="1"/>
      <w:marLeft w:val="0"/>
      <w:marRight w:val="0"/>
      <w:marTop w:val="0"/>
      <w:marBottom w:val="0"/>
      <w:divBdr>
        <w:top w:val="none" w:sz="0" w:space="0" w:color="auto"/>
        <w:left w:val="none" w:sz="0" w:space="0" w:color="auto"/>
        <w:bottom w:val="none" w:sz="0" w:space="0" w:color="auto"/>
        <w:right w:val="none" w:sz="0" w:space="0" w:color="auto"/>
      </w:divBdr>
    </w:div>
    <w:div w:id="526791361">
      <w:bodyDiv w:val="1"/>
      <w:marLeft w:val="0"/>
      <w:marRight w:val="0"/>
      <w:marTop w:val="0"/>
      <w:marBottom w:val="0"/>
      <w:divBdr>
        <w:top w:val="none" w:sz="0" w:space="0" w:color="auto"/>
        <w:left w:val="none" w:sz="0" w:space="0" w:color="auto"/>
        <w:bottom w:val="none" w:sz="0" w:space="0" w:color="auto"/>
        <w:right w:val="none" w:sz="0" w:space="0" w:color="auto"/>
      </w:divBdr>
      <w:divsChild>
        <w:div w:id="415397116">
          <w:marLeft w:val="0"/>
          <w:marRight w:val="0"/>
          <w:marTop w:val="0"/>
          <w:marBottom w:val="0"/>
          <w:divBdr>
            <w:top w:val="none" w:sz="0" w:space="0" w:color="auto"/>
            <w:left w:val="none" w:sz="0" w:space="0" w:color="auto"/>
            <w:bottom w:val="none" w:sz="0" w:space="0" w:color="auto"/>
            <w:right w:val="none" w:sz="0" w:space="0" w:color="auto"/>
          </w:divBdr>
        </w:div>
      </w:divsChild>
    </w:div>
    <w:div w:id="571815340">
      <w:bodyDiv w:val="1"/>
      <w:marLeft w:val="0"/>
      <w:marRight w:val="0"/>
      <w:marTop w:val="0"/>
      <w:marBottom w:val="0"/>
      <w:divBdr>
        <w:top w:val="none" w:sz="0" w:space="0" w:color="auto"/>
        <w:left w:val="none" w:sz="0" w:space="0" w:color="auto"/>
        <w:bottom w:val="none" w:sz="0" w:space="0" w:color="auto"/>
        <w:right w:val="none" w:sz="0" w:space="0" w:color="auto"/>
      </w:divBdr>
    </w:div>
    <w:div w:id="592126657">
      <w:bodyDiv w:val="1"/>
      <w:marLeft w:val="0"/>
      <w:marRight w:val="0"/>
      <w:marTop w:val="0"/>
      <w:marBottom w:val="0"/>
      <w:divBdr>
        <w:top w:val="none" w:sz="0" w:space="0" w:color="auto"/>
        <w:left w:val="none" w:sz="0" w:space="0" w:color="auto"/>
        <w:bottom w:val="none" w:sz="0" w:space="0" w:color="auto"/>
        <w:right w:val="none" w:sz="0" w:space="0" w:color="auto"/>
      </w:divBdr>
      <w:divsChild>
        <w:div w:id="421144216">
          <w:marLeft w:val="547"/>
          <w:marRight w:val="0"/>
          <w:marTop w:val="120"/>
          <w:marBottom w:val="120"/>
          <w:divBdr>
            <w:top w:val="none" w:sz="0" w:space="0" w:color="auto"/>
            <w:left w:val="none" w:sz="0" w:space="0" w:color="auto"/>
            <w:bottom w:val="none" w:sz="0" w:space="0" w:color="auto"/>
            <w:right w:val="none" w:sz="0" w:space="0" w:color="auto"/>
          </w:divBdr>
        </w:div>
        <w:div w:id="538933248">
          <w:marLeft w:val="547"/>
          <w:marRight w:val="0"/>
          <w:marTop w:val="120"/>
          <w:marBottom w:val="120"/>
          <w:divBdr>
            <w:top w:val="none" w:sz="0" w:space="0" w:color="auto"/>
            <w:left w:val="none" w:sz="0" w:space="0" w:color="auto"/>
            <w:bottom w:val="none" w:sz="0" w:space="0" w:color="auto"/>
            <w:right w:val="none" w:sz="0" w:space="0" w:color="auto"/>
          </w:divBdr>
        </w:div>
        <w:div w:id="821430421">
          <w:marLeft w:val="547"/>
          <w:marRight w:val="0"/>
          <w:marTop w:val="120"/>
          <w:marBottom w:val="120"/>
          <w:divBdr>
            <w:top w:val="none" w:sz="0" w:space="0" w:color="auto"/>
            <w:left w:val="none" w:sz="0" w:space="0" w:color="auto"/>
            <w:bottom w:val="none" w:sz="0" w:space="0" w:color="auto"/>
            <w:right w:val="none" w:sz="0" w:space="0" w:color="auto"/>
          </w:divBdr>
        </w:div>
        <w:div w:id="1108740898">
          <w:marLeft w:val="547"/>
          <w:marRight w:val="0"/>
          <w:marTop w:val="120"/>
          <w:marBottom w:val="120"/>
          <w:divBdr>
            <w:top w:val="none" w:sz="0" w:space="0" w:color="auto"/>
            <w:left w:val="none" w:sz="0" w:space="0" w:color="auto"/>
            <w:bottom w:val="none" w:sz="0" w:space="0" w:color="auto"/>
            <w:right w:val="none" w:sz="0" w:space="0" w:color="auto"/>
          </w:divBdr>
        </w:div>
        <w:div w:id="1229267901">
          <w:marLeft w:val="547"/>
          <w:marRight w:val="0"/>
          <w:marTop w:val="120"/>
          <w:marBottom w:val="120"/>
          <w:divBdr>
            <w:top w:val="none" w:sz="0" w:space="0" w:color="auto"/>
            <w:left w:val="none" w:sz="0" w:space="0" w:color="auto"/>
            <w:bottom w:val="none" w:sz="0" w:space="0" w:color="auto"/>
            <w:right w:val="none" w:sz="0" w:space="0" w:color="auto"/>
          </w:divBdr>
        </w:div>
        <w:div w:id="1315183317">
          <w:marLeft w:val="547"/>
          <w:marRight w:val="0"/>
          <w:marTop w:val="120"/>
          <w:marBottom w:val="120"/>
          <w:divBdr>
            <w:top w:val="none" w:sz="0" w:space="0" w:color="auto"/>
            <w:left w:val="none" w:sz="0" w:space="0" w:color="auto"/>
            <w:bottom w:val="none" w:sz="0" w:space="0" w:color="auto"/>
            <w:right w:val="none" w:sz="0" w:space="0" w:color="auto"/>
          </w:divBdr>
        </w:div>
        <w:div w:id="1864897679">
          <w:marLeft w:val="547"/>
          <w:marRight w:val="0"/>
          <w:marTop w:val="120"/>
          <w:marBottom w:val="120"/>
          <w:divBdr>
            <w:top w:val="none" w:sz="0" w:space="0" w:color="auto"/>
            <w:left w:val="none" w:sz="0" w:space="0" w:color="auto"/>
            <w:bottom w:val="none" w:sz="0" w:space="0" w:color="auto"/>
            <w:right w:val="none" w:sz="0" w:space="0" w:color="auto"/>
          </w:divBdr>
        </w:div>
        <w:div w:id="2101683089">
          <w:marLeft w:val="547"/>
          <w:marRight w:val="0"/>
          <w:marTop w:val="120"/>
          <w:marBottom w:val="120"/>
          <w:divBdr>
            <w:top w:val="none" w:sz="0" w:space="0" w:color="auto"/>
            <w:left w:val="none" w:sz="0" w:space="0" w:color="auto"/>
            <w:bottom w:val="none" w:sz="0" w:space="0" w:color="auto"/>
            <w:right w:val="none" w:sz="0" w:space="0" w:color="auto"/>
          </w:divBdr>
        </w:div>
      </w:divsChild>
    </w:div>
    <w:div w:id="604843812">
      <w:bodyDiv w:val="1"/>
      <w:marLeft w:val="0"/>
      <w:marRight w:val="0"/>
      <w:marTop w:val="0"/>
      <w:marBottom w:val="0"/>
      <w:divBdr>
        <w:top w:val="none" w:sz="0" w:space="0" w:color="auto"/>
        <w:left w:val="none" w:sz="0" w:space="0" w:color="auto"/>
        <w:bottom w:val="none" w:sz="0" w:space="0" w:color="auto"/>
        <w:right w:val="none" w:sz="0" w:space="0" w:color="auto"/>
      </w:divBdr>
      <w:divsChild>
        <w:div w:id="271594954">
          <w:marLeft w:val="0"/>
          <w:marRight w:val="0"/>
          <w:marTop w:val="0"/>
          <w:marBottom w:val="0"/>
          <w:divBdr>
            <w:top w:val="none" w:sz="0" w:space="0" w:color="auto"/>
            <w:left w:val="none" w:sz="0" w:space="0" w:color="auto"/>
            <w:bottom w:val="none" w:sz="0" w:space="0" w:color="auto"/>
            <w:right w:val="none" w:sz="0" w:space="0" w:color="auto"/>
          </w:divBdr>
        </w:div>
      </w:divsChild>
    </w:div>
    <w:div w:id="622467270">
      <w:bodyDiv w:val="1"/>
      <w:marLeft w:val="0"/>
      <w:marRight w:val="0"/>
      <w:marTop w:val="0"/>
      <w:marBottom w:val="0"/>
      <w:divBdr>
        <w:top w:val="none" w:sz="0" w:space="0" w:color="auto"/>
        <w:left w:val="none" w:sz="0" w:space="0" w:color="auto"/>
        <w:bottom w:val="none" w:sz="0" w:space="0" w:color="auto"/>
        <w:right w:val="none" w:sz="0" w:space="0" w:color="auto"/>
      </w:divBdr>
      <w:divsChild>
        <w:div w:id="735397227">
          <w:marLeft w:val="0"/>
          <w:marRight w:val="0"/>
          <w:marTop w:val="0"/>
          <w:marBottom w:val="0"/>
          <w:divBdr>
            <w:top w:val="none" w:sz="0" w:space="0" w:color="auto"/>
            <w:left w:val="none" w:sz="0" w:space="0" w:color="auto"/>
            <w:bottom w:val="none" w:sz="0" w:space="0" w:color="auto"/>
            <w:right w:val="none" w:sz="0" w:space="0" w:color="auto"/>
          </w:divBdr>
          <w:divsChild>
            <w:div w:id="622200670">
              <w:marLeft w:val="0"/>
              <w:marRight w:val="0"/>
              <w:marTop w:val="0"/>
              <w:marBottom w:val="0"/>
              <w:divBdr>
                <w:top w:val="none" w:sz="0" w:space="0" w:color="auto"/>
                <w:left w:val="none" w:sz="0" w:space="0" w:color="auto"/>
                <w:bottom w:val="none" w:sz="0" w:space="0" w:color="auto"/>
                <w:right w:val="none" w:sz="0" w:space="0" w:color="auto"/>
              </w:divBdr>
            </w:div>
            <w:div w:id="729184643">
              <w:marLeft w:val="0"/>
              <w:marRight w:val="0"/>
              <w:marTop w:val="0"/>
              <w:marBottom w:val="0"/>
              <w:divBdr>
                <w:top w:val="none" w:sz="0" w:space="0" w:color="auto"/>
                <w:left w:val="none" w:sz="0" w:space="0" w:color="auto"/>
                <w:bottom w:val="none" w:sz="0" w:space="0" w:color="auto"/>
                <w:right w:val="none" w:sz="0" w:space="0" w:color="auto"/>
              </w:divBdr>
            </w:div>
            <w:div w:id="750321719">
              <w:marLeft w:val="0"/>
              <w:marRight w:val="0"/>
              <w:marTop w:val="0"/>
              <w:marBottom w:val="0"/>
              <w:divBdr>
                <w:top w:val="none" w:sz="0" w:space="0" w:color="auto"/>
                <w:left w:val="none" w:sz="0" w:space="0" w:color="auto"/>
                <w:bottom w:val="none" w:sz="0" w:space="0" w:color="auto"/>
                <w:right w:val="none" w:sz="0" w:space="0" w:color="auto"/>
              </w:divBdr>
            </w:div>
            <w:div w:id="1047296076">
              <w:marLeft w:val="0"/>
              <w:marRight w:val="0"/>
              <w:marTop w:val="0"/>
              <w:marBottom w:val="0"/>
              <w:divBdr>
                <w:top w:val="none" w:sz="0" w:space="0" w:color="auto"/>
                <w:left w:val="none" w:sz="0" w:space="0" w:color="auto"/>
                <w:bottom w:val="none" w:sz="0" w:space="0" w:color="auto"/>
                <w:right w:val="none" w:sz="0" w:space="0" w:color="auto"/>
              </w:divBdr>
            </w:div>
            <w:div w:id="1204517602">
              <w:marLeft w:val="0"/>
              <w:marRight w:val="0"/>
              <w:marTop w:val="0"/>
              <w:marBottom w:val="0"/>
              <w:divBdr>
                <w:top w:val="none" w:sz="0" w:space="0" w:color="auto"/>
                <w:left w:val="none" w:sz="0" w:space="0" w:color="auto"/>
                <w:bottom w:val="none" w:sz="0" w:space="0" w:color="auto"/>
                <w:right w:val="none" w:sz="0" w:space="0" w:color="auto"/>
              </w:divBdr>
            </w:div>
            <w:div w:id="1274433689">
              <w:marLeft w:val="0"/>
              <w:marRight w:val="0"/>
              <w:marTop w:val="0"/>
              <w:marBottom w:val="0"/>
              <w:divBdr>
                <w:top w:val="none" w:sz="0" w:space="0" w:color="auto"/>
                <w:left w:val="none" w:sz="0" w:space="0" w:color="auto"/>
                <w:bottom w:val="none" w:sz="0" w:space="0" w:color="auto"/>
                <w:right w:val="none" w:sz="0" w:space="0" w:color="auto"/>
              </w:divBdr>
            </w:div>
            <w:div w:id="1502812024">
              <w:marLeft w:val="0"/>
              <w:marRight w:val="0"/>
              <w:marTop w:val="0"/>
              <w:marBottom w:val="0"/>
              <w:divBdr>
                <w:top w:val="none" w:sz="0" w:space="0" w:color="auto"/>
                <w:left w:val="none" w:sz="0" w:space="0" w:color="auto"/>
                <w:bottom w:val="none" w:sz="0" w:space="0" w:color="auto"/>
                <w:right w:val="none" w:sz="0" w:space="0" w:color="auto"/>
              </w:divBdr>
            </w:div>
            <w:div w:id="1719939422">
              <w:marLeft w:val="0"/>
              <w:marRight w:val="0"/>
              <w:marTop w:val="0"/>
              <w:marBottom w:val="0"/>
              <w:divBdr>
                <w:top w:val="none" w:sz="0" w:space="0" w:color="auto"/>
                <w:left w:val="none" w:sz="0" w:space="0" w:color="auto"/>
                <w:bottom w:val="none" w:sz="0" w:space="0" w:color="auto"/>
                <w:right w:val="none" w:sz="0" w:space="0" w:color="auto"/>
              </w:divBdr>
            </w:div>
            <w:div w:id="1728720423">
              <w:marLeft w:val="0"/>
              <w:marRight w:val="0"/>
              <w:marTop w:val="0"/>
              <w:marBottom w:val="0"/>
              <w:divBdr>
                <w:top w:val="none" w:sz="0" w:space="0" w:color="auto"/>
                <w:left w:val="none" w:sz="0" w:space="0" w:color="auto"/>
                <w:bottom w:val="none" w:sz="0" w:space="0" w:color="auto"/>
                <w:right w:val="none" w:sz="0" w:space="0" w:color="auto"/>
              </w:divBdr>
            </w:div>
            <w:div w:id="1736664011">
              <w:marLeft w:val="0"/>
              <w:marRight w:val="0"/>
              <w:marTop w:val="0"/>
              <w:marBottom w:val="0"/>
              <w:divBdr>
                <w:top w:val="none" w:sz="0" w:space="0" w:color="auto"/>
                <w:left w:val="none" w:sz="0" w:space="0" w:color="auto"/>
                <w:bottom w:val="none" w:sz="0" w:space="0" w:color="auto"/>
                <w:right w:val="none" w:sz="0" w:space="0" w:color="auto"/>
              </w:divBdr>
            </w:div>
            <w:div w:id="1819028303">
              <w:marLeft w:val="0"/>
              <w:marRight w:val="0"/>
              <w:marTop w:val="0"/>
              <w:marBottom w:val="0"/>
              <w:divBdr>
                <w:top w:val="none" w:sz="0" w:space="0" w:color="auto"/>
                <w:left w:val="none" w:sz="0" w:space="0" w:color="auto"/>
                <w:bottom w:val="none" w:sz="0" w:space="0" w:color="auto"/>
                <w:right w:val="none" w:sz="0" w:space="0" w:color="auto"/>
              </w:divBdr>
            </w:div>
            <w:div w:id="18889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9664">
      <w:bodyDiv w:val="1"/>
      <w:marLeft w:val="0"/>
      <w:marRight w:val="0"/>
      <w:marTop w:val="0"/>
      <w:marBottom w:val="0"/>
      <w:divBdr>
        <w:top w:val="none" w:sz="0" w:space="0" w:color="auto"/>
        <w:left w:val="none" w:sz="0" w:space="0" w:color="auto"/>
        <w:bottom w:val="none" w:sz="0" w:space="0" w:color="auto"/>
        <w:right w:val="none" w:sz="0" w:space="0" w:color="auto"/>
      </w:divBdr>
      <w:divsChild>
        <w:div w:id="230700330">
          <w:marLeft w:val="0"/>
          <w:marRight w:val="0"/>
          <w:marTop w:val="0"/>
          <w:marBottom w:val="0"/>
          <w:divBdr>
            <w:top w:val="none" w:sz="0" w:space="0" w:color="auto"/>
            <w:left w:val="none" w:sz="0" w:space="0" w:color="auto"/>
            <w:bottom w:val="none" w:sz="0" w:space="0" w:color="auto"/>
            <w:right w:val="none" w:sz="0" w:space="0" w:color="auto"/>
          </w:divBdr>
          <w:divsChild>
            <w:div w:id="828596033">
              <w:marLeft w:val="0"/>
              <w:marRight w:val="0"/>
              <w:marTop w:val="0"/>
              <w:marBottom w:val="0"/>
              <w:divBdr>
                <w:top w:val="none" w:sz="0" w:space="0" w:color="auto"/>
                <w:left w:val="none" w:sz="0" w:space="0" w:color="auto"/>
                <w:bottom w:val="none" w:sz="0" w:space="0" w:color="auto"/>
                <w:right w:val="none" w:sz="0" w:space="0" w:color="auto"/>
              </w:divBdr>
            </w:div>
            <w:div w:id="1070420046">
              <w:marLeft w:val="0"/>
              <w:marRight w:val="0"/>
              <w:marTop w:val="0"/>
              <w:marBottom w:val="0"/>
              <w:divBdr>
                <w:top w:val="none" w:sz="0" w:space="0" w:color="auto"/>
                <w:left w:val="none" w:sz="0" w:space="0" w:color="auto"/>
                <w:bottom w:val="none" w:sz="0" w:space="0" w:color="auto"/>
                <w:right w:val="none" w:sz="0" w:space="0" w:color="auto"/>
              </w:divBdr>
            </w:div>
            <w:div w:id="1186335413">
              <w:marLeft w:val="0"/>
              <w:marRight w:val="0"/>
              <w:marTop w:val="0"/>
              <w:marBottom w:val="0"/>
              <w:divBdr>
                <w:top w:val="none" w:sz="0" w:space="0" w:color="auto"/>
                <w:left w:val="none" w:sz="0" w:space="0" w:color="auto"/>
                <w:bottom w:val="none" w:sz="0" w:space="0" w:color="auto"/>
                <w:right w:val="none" w:sz="0" w:space="0" w:color="auto"/>
              </w:divBdr>
            </w:div>
            <w:div w:id="1258565431">
              <w:marLeft w:val="0"/>
              <w:marRight w:val="0"/>
              <w:marTop w:val="0"/>
              <w:marBottom w:val="0"/>
              <w:divBdr>
                <w:top w:val="none" w:sz="0" w:space="0" w:color="auto"/>
                <w:left w:val="none" w:sz="0" w:space="0" w:color="auto"/>
                <w:bottom w:val="none" w:sz="0" w:space="0" w:color="auto"/>
                <w:right w:val="none" w:sz="0" w:space="0" w:color="auto"/>
              </w:divBdr>
            </w:div>
            <w:div w:id="1606498775">
              <w:marLeft w:val="0"/>
              <w:marRight w:val="0"/>
              <w:marTop w:val="0"/>
              <w:marBottom w:val="0"/>
              <w:divBdr>
                <w:top w:val="none" w:sz="0" w:space="0" w:color="auto"/>
                <w:left w:val="none" w:sz="0" w:space="0" w:color="auto"/>
                <w:bottom w:val="none" w:sz="0" w:space="0" w:color="auto"/>
                <w:right w:val="none" w:sz="0" w:space="0" w:color="auto"/>
              </w:divBdr>
            </w:div>
            <w:div w:id="1784230695">
              <w:marLeft w:val="0"/>
              <w:marRight w:val="0"/>
              <w:marTop w:val="0"/>
              <w:marBottom w:val="0"/>
              <w:divBdr>
                <w:top w:val="none" w:sz="0" w:space="0" w:color="auto"/>
                <w:left w:val="none" w:sz="0" w:space="0" w:color="auto"/>
                <w:bottom w:val="none" w:sz="0" w:space="0" w:color="auto"/>
                <w:right w:val="none" w:sz="0" w:space="0" w:color="auto"/>
              </w:divBdr>
            </w:div>
            <w:div w:id="1824808244">
              <w:marLeft w:val="0"/>
              <w:marRight w:val="0"/>
              <w:marTop w:val="0"/>
              <w:marBottom w:val="0"/>
              <w:divBdr>
                <w:top w:val="none" w:sz="0" w:space="0" w:color="auto"/>
                <w:left w:val="none" w:sz="0" w:space="0" w:color="auto"/>
                <w:bottom w:val="none" w:sz="0" w:space="0" w:color="auto"/>
                <w:right w:val="none" w:sz="0" w:space="0" w:color="auto"/>
              </w:divBdr>
            </w:div>
            <w:div w:id="1988437775">
              <w:marLeft w:val="0"/>
              <w:marRight w:val="0"/>
              <w:marTop w:val="0"/>
              <w:marBottom w:val="0"/>
              <w:divBdr>
                <w:top w:val="none" w:sz="0" w:space="0" w:color="auto"/>
                <w:left w:val="none" w:sz="0" w:space="0" w:color="auto"/>
                <w:bottom w:val="none" w:sz="0" w:space="0" w:color="auto"/>
                <w:right w:val="none" w:sz="0" w:space="0" w:color="auto"/>
              </w:divBdr>
            </w:div>
            <w:div w:id="20607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98311">
      <w:bodyDiv w:val="1"/>
      <w:marLeft w:val="0"/>
      <w:marRight w:val="0"/>
      <w:marTop w:val="0"/>
      <w:marBottom w:val="0"/>
      <w:divBdr>
        <w:top w:val="none" w:sz="0" w:space="0" w:color="auto"/>
        <w:left w:val="none" w:sz="0" w:space="0" w:color="auto"/>
        <w:bottom w:val="none" w:sz="0" w:space="0" w:color="auto"/>
        <w:right w:val="none" w:sz="0" w:space="0" w:color="auto"/>
      </w:divBdr>
      <w:divsChild>
        <w:div w:id="613173564">
          <w:marLeft w:val="0"/>
          <w:marRight w:val="0"/>
          <w:marTop w:val="0"/>
          <w:marBottom w:val="0"/>
          <w:divBdr>
            <w:top w:val="none" w:sz="0" w:space="0" w:color="auto"/>
            <w:left w:val="none" w:sz="0" w:space="0" w:color="auto"/>
            <w:bottom w:val="none" w:sz="0" w:space="0" w:color="auto"/>
            <w:right w:val="none" w:sz="0" w:space="0" w:color="auto"/>
          </w:divBdr>
          <w:divsChild>
            <w:div w:id="20761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547">
      <w:bodyDiv w:val="1"/>
      <w:marLeft w:val="0"/>
      <w:marRight w:val="0"/>
      <w:marTop w:val="0"/>
      <w:marBottom w:val="0"/>
      <w:divBdr>
        <w:top w:val="none" w:sz="0" w:space="0" w:color="auto"/>
        <w:left w:val="none" w:sz="0" w:space="0" w:color="auto"/>
        <w:bottom w:val="none" w:sz="0" w:space="0" w:color="auto"/>
        <w:right w:val="none" w:sz="0" w:space="0" w:color="auto"/>
      </w:divBdr>
      <w:divsChild>
        <w:div w:id="347023631">
          <w:marLeft w:val="0"/>
          <w:marRight w:val="0"/>
          <w:marTop w:val="0"/>
          <w:marBottom w:val="0"/>
          <w:divBdr>
            <w:top w:val="none" w:sz="0" w:space="0" w:color="auto"/>
            <w:left w:val="none" w:sz="0" w:space="0" w:color="auto"/>
            <w:bottom w:val="none" w:sz="0" w:space="0" w:color="auto"/>
            <w:right w:val="none" w:sz="0" w:space="0" w:color="auto"/>
          </w:divBdr>
          <w:divsChild>
            <w:div w:id="213469674">
              <w:marLeft w:val="0"/>
              <w:marRight w:val="0"/>
              <w:marTop w:val="0"/>
              <w:marBottom w:val="0"/>
              <w:divBdr>
                <w:top w:val="none" w:sz="0" w:space="0" w:color="auto"/>
                <w:left w:val="none" w:sz="0" w:space="0" w:color="auto"/>
                <w:bottom w:val="none" w:sz="0" w:space="0" w:color="auto"/>
                <w:right w:val="none" w:sz="0" w:space="0" w:color="auto"/>
              </w:divBdr>
            </w:div>
            <w:div w:id="461193141">
              <w:marLeft w:val="0"/>
              <w:marRight w:val="0"/>
              <w:marTop w:val="0"/>
              <w:marBottom w:val="0"/>
              <w:divBdr>
                <w:top w:val="none" w:sz="0" w:space="0" w:color="auto"/>
                <w:left w:val="none" w:sz="0" w:space="0" w:color="auto"/>
                <w:bottom w:val="none" w:sz="0" w:space="0" w:color="auto"/>
                <w:right w:val="none" w:sz="0" w:space="0" w:color="auto"/>
              </w:divBdr>
            </w:div>
            <w:div w:id="593709625">
              <w:marLeft w:val="0"/>
              <w:marRight w:val="0"/>
              <w:marTop w:val="0"/>
              <w:marBottom w:val="0"/>
              <w:divBdr>
                <w:top w:val="none" w:sz="0" w:space="0" w:color="auto"/>
                <w:left w:val="none" w:sz="0" w:space="0" w:color="auto"/>
                <w:bottom w:val="none" w:sz="0" w:space="0" w:color="auto"/>
                <w:right w:val="none" w:sz="0" w:space="0" w:color="auto"/>
              </w:divBdr>
            </w:div>
            <w:div w:id="651449868">
              <w:marLeft w:val="0"/>
              <w:marRight w:val="0"/>
              <w:marTop w:val="0"/>
              <w:marBottom w:val="0"/>
              <w:divBdr>
                <w:top w:val="none" w:sz="0" w:space="0" w:color="auto"/>
                <w:left w:val="none" w:sz="0" w:space="0" w:color="auto"/>
                <w:bottom w:val="none" w:sz="0" w:space="0" w:color="auto"/>
                <w:right w:val="none" w:sz="0" w:space="0" w:color="auto"/>
              </w:divBdr>
            </w:div>
            <w:div w:id="1631207956">
              <w:marLeft w:val="0"/>
              <w:marRight w:val="0"/>
              <w:marTop w:val="0"/>
              <w:marBottom w:val="0"/>
              <w:divBdr>
                <w:top w:val="none" w:sz="0" w:space="0" w:color="auto"/>
                <w:left w:val="none" w:sz="0" w:space="0" w:color="auto"/>
                <w:bottom w:val="none" w:sz="0" w:space="0" w:color="auto"/>
                <w:right w:val="none" w:sz="0" w:space="0" w:color="auto"/>
              </w:divBdr>
            </w:div>
            <w:div w:id="17212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6253">
      <w:bodyDiv w:val="1"/>
      <w:marLeft w:val="0"/>
      <w:marRight w:val="0"/>
      <w:marTop w:val="0"/>
      <w:marBottom w:val="0"/>
      <w:divBdr>
        <w:top w:val="none" w:sz="0" w:space="0" w:color="auto"/>
        <w:left w:val="none" w:sz="0" w:space="0" w:color="auto"/>
        <w:bottom w:val="none" w:sz="0" w:space="0" w:color="auto"/>
        <w:right w:val="none" w:sz="0" w:space="0" w:color="auto"/>
      </w:divBdr>
      <w:divsChild>
        <w:div w:id="106388421">
          <w:marLeft w:val="0"/>
          <w:marRight w:val="0"/>
          <w:marTop w:val="105"/>
          <w:marBottom w:val="0"/>
          <w:divBdr>
            <w:top w:val="none" w:sz="0" w:space="0" w:color="auto"/>
            <w:left w:val="none" w:sz="0" w:space="0" w:color="auto"/>
            <w:bottom w:val="none" w:sz="0" w:space="0" w:color="auto"/>
            <w:right w:val="none" w:sz="0" w:space="0" w:color="auto"/>
          </w:divBdr>
        </w:div>
        <w:div w:id="1230194446">
          <w:marLeft w:val="0"/>
          <w:marRight w:val="0"/>
          <w:marTop w:val="105"/>
          <w:marBottom w:val="0"/>
          <w:divBdr>
            <w:top w:val="none" w:sz="0" w:space="0" w:color="auto"/>
            <w:left w:val="none" w:sz="0" w:space="0" w:color="auto"/>
            <w:bottom w:val="none" w:sz="0" w:space="0" w:color="auto"/>
            <w:right w:val="none" w:sz="0" w:space="0" w:color="auto"/>
          </w:divBdr>
        </w:div>
      </w:divsChild>
    </w:div>
    <w:div w:id="813763608">
      <w:bodyDiv w:val="1"/>
      <w:marLeft w:val="0"/>
      <w:marRight w:val="0"/>
      <w:marTop w:val="0"/>
      <w:marBottom w:val="0"/>
      <w:divBdr>
        <w:top w:val="none" w:sz="0" w:space="0" w:color="auto"/>
        <w:left w:val="none" w:sz="0" w:space="0" w:color="auto"/>
        <w:bottom w:val="none" w:sz="0" w:space="0" w:color="auto"/>
        <w:right w:val="none" w:sz="0" w:space="0" w:color="auto"/>
      </w:divBdr>
      <w:divsChild>
        <w:div w:id="1285306009">
          <w:marLeft w:val="0"/>
          <w:marRight w:val="0"/>
          <w:marTop w:val="0"/>
          <w:marBottom w:val="0"/>
          <w:divBdr>
            <w:top w:val="none" w:sz="0" w:space="0" w:color="auto"/>
            <w:left w:val="none" w:sz="0" w:space="0" w:color="auto"/>
            <w:bottom w:val="none" w:sz="0" w:space="0" w:color="auto"/>
            <w:right w:val="none" w:sz="0" w:space="0" w:color="auto"/>
          </w:divBdr>
        </w:div>
      </w:divsChild>
    </w:div>
    <w:div w:id="824903737">
      <w:bodyDiv w:val="1"/>
      <w:marLeft w:val="0"/>
      <w:marRight w:val="0"/>
      <w:marTop w:val="0"/>
      <w:marBottom w:val="0"/>
      <w:divBdr>
        <w:top w:val="none" w:sz="0" w:space="0" w:color="auto"/>
        <w:left w:val="none" w:sz="0" w:space="0" w:color="auto"/>
        <w:bottom w:val="none" w:sz="0" w:space="0" w:color="auto"/>
        <w:right w:val="none" w:sz="0" w:space="0" w:color="auto"/>
      </w:divBdr>
      <w:divsChild>
        <w:div w:id="1241064395">
          <w:marLeft w:val="0"/>
          <w:marRight w:val="0"/>
          <w:marTop w:val="0"/>
          <w:marBottom w:val="0"/>
          <w:divBdr>
            <w:top w:val="none" w:sz="0" w:space="0" w:color="auto"/>
            <w:left w:val="none" w:sz="0" w:space="0" w:color="auto"/>
            <w:bottom w:val="none" w:sz="0" w:space="0" w:color="auto"/>
            <w:right w:val="none" w:sz="0" w:space="0" w:color="auto"/>
          </w:divBdr>
        </w:div>
      </w:divsChild>
    </w:div>
    <w:div w:id="832381039">
      <w:bodyDiv w:val="1"/>
      <w:marLeft w:val="0"/>
      <w:marRight w:val="0"/>
      <w:marTop w:val="0"/>
      <w:marBottom w:val="0"/>
      <w:divBdr>
        <w:top w:val="none" w:sz="0" w:space="0" w:color="auto"/>
        <w:left w:val="none" w:sz="0" w:space="0" w:color="auto"/>
        <w:bottom w:val="none" w:sz="0" w:space="0" w:color="auto"/>
        <w:right w:val="none" w:sz="0" w:space="0" w:color="auto"/>
      </w:divBdr>
      <w:divsChild>
        <w:div w:id="474563746">
          <w:marLeft w:val="0"/>
          <w:marRight w:val="0"/>
          <w:marTop w:val="105"/>
          <w:marBottom w:val="0"/>
          <w:divBdr>
            <w:top w:val="none" w:sz="0" w:space="0" w:color="auto"/>
            <w:left w:val="none" w:sz="0" w:space="0" w:color="auto"/>
            <w:bottom w:val="none" w:sz="0" w:space="0" w:color="auto"/>
            <w:right w:val="none" w:sz="0" w:space="0" w:color="auto"/>
          </w:divBdr>
        </w:div>
      </w:divsChild>
    </w:div>
    <w:div w:id="836850626">
      <w:bodyDiv w:val="1"/>
      <w:marLeft w:val="0"/>
      <w:marRight w:val="0"/>
      <w:marTop w:val="0"/>
      <w:marBottom w:val="0"/>
      <w:divBdr>
        <w:top w:val="none" w:sz="0" w:space="0" w:color="auto"/>
        <w:left w:val="none" w:sz="0" w:space="0" w:color="auto"/>
        <w:bottom w:val="none" w:sz="0" w:space="0" w:color="auto"/>
        <w:right w:val="none" w:sz="0" w:space="0" w:color="auto"/>
      </w:divBdr>
    </w:div>
    <w:div w:id="870845263">
      <w:bodyDiv w:val="1"/>
      <w:marLeft w:val="0"/>
      <w:marRight w:val="0"/>
      <w:marTop w:val="0"/>
      <w:marBottom w:val="0"/>
      <w:divBdr>
        <w:top w:val="none" w:sz="0" w:space="0" w:color="auto"/>
        <w:left w:val="none" w:sz="0" w:space="0" w:color="auto"/>
        <w:bottom w:val="none" w:sz="0" w:space="0" w:color="auto"/>
        <w:right w:val="none" w:sz="0" w:space="0" w:color="auto"/>
      </w:divBdr>
      <w:divsChild>
        <w:div w:id="149247864">
          <w:marLeft w:val="0"/>
          <w:marRight w:val="0"/>
          <w:marTop w:val="105"/>
          <w:marBottom w:val="0"/>
          <w:divBdr>
            <w:top w:val="none" w:sz="0" w:space="0" w:color="auto"/>
            <w:left w:val="none" w:sz="0" w:space="0" w:color="auto"/>
            <w:bottom w:val="none" w:sz="0" w:space="0" w:color="auto"/>
            <w:right w:val="none" w:sz="0" w:space="0" w:color="auto"/>
          </w:divBdr>
        </w:div>
        <w:div w:id="1311597091">
          <w:marLeft w:val="0"/>
          <w:marRight w:val="0"/>
          <w:marTop w:val="105"/>
          <w:marBottom w:val="0"/>
          <w:divBdr>
            <w:top w:val="none" w:sz="0" w:space="0" w:color="auto"/>
            <w:left w:val="none" w:sz="0" w:space="0" w:color="auto"/>
            <w:bottom w:val="none" w:sz="0" w:space="0" w:color="auto"/>
            <w:right w:val="none" w:sz="0" w:space="0" w:color="auto"/>
          </w:divBdr>
        </w:div>
      </w:divsChild>
    </w:div>
    <w:div w:id="871725815">
      <w:bodyDiv w:val="1"/>
      <w:marLeft w:val="0"/>
      <w:marRight w:val="0"/>
      <w:marTop w:val="0"/>
      <w:marBottom w:val="0"/>
      <w:divBdr>
        <w:top w:val="none" w:sz="0" w:space="0" w:color="auto"/>
        <w:left w:val="none" w:sz="0" w:space="0" w:color="auto"/>
        <w:bottom w:val="none" w:sz="0" w:space="0" w:color="auto"/>
        <w:right w:val="none" w:sz="0" w:space="0" w:color="auto"/>
      </w:divBdr>
    </w:div>
    <w:div w:id="874536632">
      <w:bodyDiv w:val="1"/>
      <w:marLeft w:val="0"/>
      <w:marRight w:val="0"/>
      <w:marTop w:val="0"/>
      <w:marBottom w:val="0"/>
      <w:divBdr>
        <w:top w:val="none" w:sz="0" w:space="0" w:color="auto"/>
        <w:left w:val="none" w:sz="0" w:space="0" w:color="auto"/>
        <w:bottom w:val="none" w:sz="0" w:space="0" w:color="auto"/>
        <w:right w:val="none" w:sz="0" w:space="0" w:color="auto"/>
      </w:divBdr>
      <w:divsChild>
        <w:div w:id="94327174">
          <w:marLeft w:val="0"/>
          <w:marRight w:val="0"/>
          <w:marTop w:val="0"/>
          <w:marBottom w:val="0"/>
          <w:divBdr>
            <w:top w:val="none" w:sz="0" w:space="0" w:color="auto"/>
            <w:left w:val="none" w:sz="0" w:space="0" w:color="auto"/>
            <w:bottom w:val="none" w:sz="0" w:space="0" w:color="auto"/>
            <w:right w:val="none" w:sz="0" w:space="0" w:color="auto"/>
          </w:divBdr>
        </w:div>
      </w:divsChild>
    </w:div>
    <w:div w:id="878392043">
      <w:bodyDiv w:val="1"/>
      <w:marLeft w:val="0"/>
      <w:marRight w:val="0"/>
      <w:marTop w:val="0"/>
      <w:marBottom w:val="0"/>
      <w:divBdr>
        <w:top w:val="none" w:sz="0" w:space="0" w:color="auto"/>
        <w:left w:val="none" w:sz="0" w:space="0" w:color="auto"/>
        <w:bottom w:val="none" w:sz="0" w:space="0" w:color="auto"/>
        <w:right w:val="none" w:sz="0" w:space="0" w:color="auto"/>
      </w:divBdr>
      <w:divsChild>
        <w:div w:id="412045996">
          <w:marLeft w:val="0"/>
          <w:marRight w:val="0"/>
          <w:marTop w:val="0"/>
          <w:marBottom w:val="0"/>
          <w:divBdr>
            <w:top w:val="none" w:sz="0" w:space="0" w:color="auto"/>
            <w:left w:val="none" w:sz="0" w:space="0" w:color="auto"/>
            <w:bottom w:val="none" w:sz="0" w:space="0" w:color="auto"/>
            <w:right w:val="none" w:sz="0" w:space="0" w:color="auto"/>
          </w:divBdr>
        </w:div>
      </w:divsChild>
    </w:div>
    <w:div w:id="902981554">
      <w:bodyDiv w:val="1"/>
      <w:marLeft w:val="0"/>
      <w:marRight w:val="0"/>
      <w:marTop w:val="0"/>
      <w:marBottom w:val="0"/>
      <w:divBdr>
        <w:top w:val="none" w:sz="0" w:space="0" w:color="auto"/>
        <w:left w:val="none" w:sz="0" w:space="0" w:color="auto"/>
        <w:bottom w:val="none" w:sz="0" w:space="0" w:color="auto"/>
        <w:right w:val="none" w:sz="0" w:space="0" w:color="auto"/>
      </w:divBdr>
    </w:div>
    <w:div w:id="917522506">
      <w:bodyDiv w:val="1"/>
      <w:marLeft w:val="0"/>
      <w:marRight w:val="0"/>
      <w:marTop w:val="0"/>
      <w:marBottom w:val="0"/>
      <w:divBdr>
        <w:top w:val="none" w:sz="0" w:space="0" w:color="auto"/>
        <w:left w:val="none" w:sz="0" w:space="0" w:color="auto"/>
        <w:bottom w:val="none" w:sz="0" w:space="0" w:color="auto"/>
        <w:right w:val="none" w:sz="0" w:space="0" w:color="auto"/>
      </w:divBdr>
      <w:divsChild>
        <w:div w:id="114638797">
          <w:marLeft w:val="878"/>
          <w:marRight w:val="0"/>
          <w:marTop w:val="0"/>
          <w:marBottom w:val="0"/>
          <w:divBdr>
            <w:top w:val="none" w:sz="0" w:space="0" w:color="auto"/>
            <w:left w:val="none" w:sz="0" w:space="0" w:color="auto"/>
            <w:bottom w:val="none" w:sz="0" w:space="0" w:color="auto"/>
            <w:right w:val="none" w:sz="0" w:space="0" w:color="auto"/>
          </w:divBdr>
        </w:div>
        <w:div w:id="216670844">
          <w:marLeft w:val="878"/>
          <w:marRight w:val="0"/>
          <w:marTop w:val="0"/>
          <w:marBottom w:val="0"/>
          <w:divBdr>
            <w:top w:val="none" w:sz="0" w:space="0" w:color="auto"/>
            <w:left w:val="none" w:sz="0" w:space="0" w:color="auto"/>
            <w:bottom w:val="none" w:sz="0" w:space="0" w:color="auto"/>
            <w:right w:val="none" w:sz="0" w:space="0" w:color="auto"/>
          </w:divBdr>
        </w:div>
        <w:div w:id="1490712631">
          <w:marLeft w:val="878"/>
          <w:marRight w:val="0"/>
          <w:marTop w:val="0"/>
          <w:marBottom w:val="0"/>
          <w:divBdr>
            <w:top w:val="none" w:sz="0" w:space="0" w:color="auto"/>
            <w:left w:val="none" w:sz="0" w:space="0" w:color="auto"/>
            <w:bottom w:val="none" w:sz="0" w:space="0" w:color="auto"/>
            <w:right w:val="none" w:sz="0" w:space="0" w:color="auto"/>
          </w:divBdr>
        </w:div>
        <w:div w:id="1972979719">
          <w:marLeft w:val="878"/>
          <w:marRight w:val="0"/>
          <w:marTop w:val="0"/>
          <w:marBottom w:val="0"/>
          <w:divBdr>
            <w:top w:val="none" w:sz="0" w:space="0" w:color="auto"/>
            <w:left w:val="none" w:sz="0" w:space="0" w:color="auto"/>
            <w:bottom w:val="none" w:sz="0" w:space="0" w:color="auto"/>
            <w:right w:val="none" w:sz="0" w:space="0" w:color="auto"/>
          </w:divBdr>
        </w:div>
      </w:divsChild>
    </w:div>
    <w:div w:id="968244710">
      <w:bodyDiv w:val="1"/>
      <w:marLeft w:val="0"/>
      <w:marRight w:val="0"/>
      <w:marTop w:val="0"/>
      <w:marBottom w:val="0"/>
      <w:divBdr>
        <w:top w:val="none" w:sz="0" w:space="0" w:color="auto"/>
        <w:left w:val="none" w:sz="0" w:space="0" w:color="auto"/>
        <w:bottom w:val="none" w:sz="0" w:space="0" w:color="auto"/>
        <w:right w:val="none" w:sz="0" w:space="0" w:color="auto"/>
      </w:divBdr>
      <w:divsChild>
        <w:div w:id="936136985">
          <w:marLeft w:val="0"/>
          <w:marRight w:val="0"/>
          <w:marTop w:val="0"/>
          <w:marBottom w:val="0"/>
          <w:divBdr>
            <w:top w:val="none" w:sz="0" w:space="0" w:color="auto"/>
            <w:left w:val="none" w:sz="0" w:space="0" w:color="auto"/>
            <w:bottom w:val="none" w:sz="0" w:space="0" w:color="auto"/>
            <w:right w:val="none" w:sz="0" w:space="0" w:color="auto"/>
          </w:divBdr>
        </w:div>
      </w:divsChild>
    </w:div>
    <w:div w:id="984506703">
      <w:bodyDiv w:val="1"/>
      <w:marLeft w:val="0"/>
      <w:marRight w:val="0"/>
      <w:marTop w:val="0"/>
      <w:marBottom w:val="0"/>
      <w:divBdr>
        <w:top w:val="none" w:sz="0" w:space="0" w:color="auto"/>
        <w:left w:val="none" w:sz="0" w:space="0" w:color="auto"/>
        <w:bottom w:val="none" w:sz="0" w:space="0" w:color="auto"/>
        <w:right w:val="none" w:sz="0" w:space="0" w:color="auto"/>
      </w:divBdr>
      <w:divsChild>
        <w:div w:id="1124228714">
          <w:marLeft w:val="0"/>
          <w:marRight w:val="0"/>
          <w:marTop w:val="0"/>
          <w:marBottom w:val="0"/>
          <w:divBdr>
            <w:top w:val="none" w:sz="0" w:space="0" w:color="auto"/>
            <w:left w:val="none" w:sz="0" w:space="0" w:color="auto"/>
            <w:bottom w:val="none" w:sz="0" w:space="0" w:color="auto"/>
            <w:right w:val="none" w:sz="0" w:space="0" w:color="auto"/>
          </w:divBdr>
          <w:divsChild>
            <w:div w:id="17188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5211">
      <w:bodyDiv w:val="1"/>
      <w:marLeft w:val="0"/>
      <w:marRight w:val="0"/>
      <w:marTop w:val="0"/>
      <w:marBottom w:val="0"/>
      <w:divBdr>
        <w:top w:val="none" w:sz="0" w:space="0" w:color="auto"/>
        <w:left w:val="none" w:sz="0" w:space="0" w:color="auto"/>
        <w:bottom w:val="none" w:sz="0" w:space="0" w:color="auto"/>
        <w:right w:val="none" w:sz="0" w:space="0" w:color="auto"/>
      </w:divBdr>
    </w:div>
    <w:div w:id="1002583691">
      <w:bodyDiv w:val="1"/>
      <w:marLeft w:val="0"/>
      <w:marRight w:val="0"/>
      <w:marTop w:val="0"/>
      <w:marBottom w:val="0"/>
      <w:divBdr>
        <w:top w:val="none" w:sz="0" w:space="0" w:color="auto"/>
        <w:left w:val="none" w:sz="0" w:space="0" w:color="auto"/>
        <w:bottom w:val="none" w:sz="0" w:space="0" w:color="auto"/>
        <w:right w:val="none" w:sz="0" w:space="0" w:color="auto"/>
      </w:divBdr>
      <w:divsChild>
        <w:div w:id="1626541669">
          <w:marLeft w:val="0"/>
          <w:marRight w:val="0"/>
          <w:marTop w:val="0"/>
          <w:marBottom w:val="0"/>
          <w:divBdr>
            <w:top w:val="none" w:sz="0" w:space="0" w:color="auto"/>
            <w:left w:val="none" w:sz="0" w:space="0" w:color="auto"/>
            <w:bottom w:val="none" w:sz="0" w:space="0" w:color="auto"/>
            <w:right w:val="none" w:sz="0" w:space="0" w:color="auto"/>
          </w:divBdr>
        </w:div>
      </w:divsChild>
    </w:div>
    <w:div w:id="1052926836">
      <w:bodyDiv w:val="1"/>
      <w:marLeft w:val="0"/>
      <w:marRight w:val="0"/>
      <w:marTop w:val="0"/>
      <w:marBottom w:val="0"/>
      <w:divBdr>
        <w:top w:val="none" w:sz="0" w:space="0" w:color="auto"/>
        <w:left w:val="none" w:sz="0" w:space="0" w:color="auto"/>
        <w:bottom w:val="none" w:sz="0" w:space="0" w:color="auto"/>
        <w:right w:val="none" w:sz="0" w:space="0" w:color="auto"/>
      </w:divBdr>
    </w:div>
    <w:div w:id="1093356114">
      <w:bodyDiv w:val="1"/>
      <w:marLeft w:val="0"/>
      <w:marRight w:val="0"/>
      <w:marTop w:val="0"/>
      <w:marBottom w:val="0"/>
      <w:divBdr>
        <w:top w:val="none" w:sz="0" w:space="0" w:color="auto"/>
        <w:left w:val="none" w:sz="0" w:space="0" w:color="auto"/>
        <w:bottom w:val="none" w:sz="0" w:space="0" w:color="auto"/>
        <w:right w:val="none" w:sz="0" w:space="0" w:color="auto"/>
      </w:divBdr>
      <w:divsChild>
        <w:div w:id="525213970">
          <w:marLeft w:val="0"/>
          <w:marRight w:val="0"/>
          <w:marTop w:val="105"/>
          <w:marBottom w:val="0"/>
          <w:divBdr>
            <w:top w:val="none" w:sz="0" w:space="0" w:color="auto"/>
            <w:left w:val="none" w:sz="0" w:space="0" w:color="auto"/>
            <w:bottom w:val="none" w:sz="0" w:space="0" w:color="auto"/>
            <w:right w:val="none" w:sz="0" w:space="0" w:color="auto"/>
          </w:divBdr>
        </w:div>
        <w:div w:id="901987965">
          <w:marLeft w:val="0"/>
          <w:marRight w:val="0"/>
          <w:marTop w:val="105"/>
          <w:marBottom w:val="0"/>
          <w:divBdr>
            <w:top w:val="none" w:sz="0" w:space="0" w:color="auto"/>
            <w:left w:val="none" w:sz="0" w:space="0" w:color="auto"/>
            <w:bottom w:val="none" w:sz="0" w:space="0" w:color="auto"/>
            <w:right w:val="none" w:sz="0" w:space="0" w:color="auto"/>
          </w:divBdr>
        </w:div>
        <w:div w:id="1389105407">
          <w:marLeft w:val="0"/>
          <w:marRight w:val="0"/>
          <w:marTop w:val="105"/>
          <w:marBottom w:val="0"/>
          <w:divBdr>
            <w:top w:val="none" w:sz="0" w:space="0" w:color="auto"/>
            <w:left w:val="none" w:sz="0" w:space="0" w:color="auto"/>
            <w:bottom w:val="none" w:sz="0" w:space="0" w:color="auto"/>
            <w:right w:val="none" w:sz="0" w:space="0" w:color="auto"/>
          </w:divBdr>
        </w:div>
      </w:divsChild>
    </w:div>
    <w:div w:id="1124690723">
      <w:bodyDiv w:val="1"/>
      <w:marLeft w:val="0"/>
      <w:marRight w:val="0"/>
      <w:marTop w:val="0"/>
      <w:marBottom w:val="0"/>
      <w:divBdr>
        <w:top w:val="none" w:sz="0" w:space="0" w:color="auto"/>
        <w:left w:val="none" w:sz="0" w:space="0" w:color="auto"/>
        <w:bottom w:val="none" w:sz="0" w:space="0" w:color="auto"/>
        <w:right w:val="none" w:sz="0" w:space="0" w:color="auto"/>
      </w:divBdr>
      <w:divsChild>
        <w:div w:id="1790783096">
          <w:marLeft w:val="0"/>
          <w:marRight w:val="0"/>
          <w:marTop w:val="0"/>
          <w:marBottom w:val="0"/>
          <w:divBdr>
            <w:top w:val="none" w:sz="0" w:space="0" w:color="auto"/>
            <w:left w:val="none" w:sz="0" w:space="0" w:color="auto"/>
            <w:bottom w:val="none" w:sz="0" w:space="0" w:color="auto"/>
            <w:right w:val="none" w:sz="0" w:space="0" w:color="auto"/>
          </w:divBdr>
          <w:divsChild>
            <w:div w:id="828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151">
      <w:bodyDiv w:val="1"/>
      <w:marLeft w:val="0"/>
      <w:marRight w:val="0"/>
      <w:marTop w:val="0"/>
      <w:marBottom w:val="0"/>
      <w:divBdr>
        <w:top w:val="none" w:sz="0" w:space="0" w:color="auto"/>
        <w:left w:val="none" w:sz="0" w:space="0" w:color="auto"/>
        <w:bottom w:val="none" w:sz="0" w:space="0" w:color="auto"/>
        <w:right w:val="none" w:sz="0" w:space="0" w:color="auto"/>
      </w:divBdr>
      <w:divsChild>
        <w:div w:id="841775761">
          <w:marLeft w:val="0"/>
          <w:marRight w:val="0"/>
          <w:marTop w:val="0"/>
          <w:marBottom w:val="0"/>
          <w:divBdr>
            <w:top w:val="none" w:sz="0" w:space="0" w:color="auto"/>
            <w:left w:val="none" w:sz="0" w:space="0" w:color="auto"/>
            <w:bottom w:val="none" w:sz="0" w:space="0" w:color="auto"/>
            <w:right w:val="none" w:sz="0" w:space="0" w:color="auto"/>
          </w:divBdr>
          <w:divsChild>
            <w:div w:id="1336496312">
              <w:marLeft w:val="0"/>
              <w:marRight w:val="0"/>
              <w:marTop w:val="0"/>
              <w:marBottom w:val="0"/>
              <w:divBdr>
                <w:top w:val="none" w:sz="0" w:space="0" w:color="auto"/>
                <w:left w:val="none" w:sz="0" w:space="0" w:color="auto"/>
                <w:bottom w:val="none" w:sz="0" w:space="0" w:color="auto"/>
                <w:right w:val="none" w:sz="0" w:space="0" w:color="auto"/>
              </w:divBdr>
            </w:div>
            <w:div w:id="1396006713">
              <w:marLeft w:val="0"/>
              <w:marRight w:val="0"/>
              <w:marTop w:val="0"/>
              <w:marBottom w:val="0"/>
              <w:divBdr>
                <w:top w:val="none" w:sz="0" w:space="0" w:color="auto"/>
                <w:left w:val="none" w:sz="0" w:space="0" w:color="auto"/>
                <w:bottom w:val="none" w:sz="0" w:space="0" w:color="auto"/>
                <w:right w:val="none" w:sz="0" w:space="0" w:color="auto"/>
              </w:divBdr>
            </w:div>
            <w:div w:id="1667440751">
              <w:marLeft w:val="0"/>
              <w:marRight w:val="0"/>
              <w:marTop w:val="0"/>
              <w:marBottom w:val="0"/>
              <w:divBdr>
                <w:top w:val="none" w:sz="0" w:space="0" w:color="auto"/>
                <w:left w:val="none" w:sz="0" w:space="0" w:color="auto"/>
                <w:bottom w:val="none" w:sz="0" w:space="0" w:color="auto"/>
                <w:right w:val="none" w:sz="0" w:space="0" w:color="auto"/>
              </w:divBdr>
            </w:div>
            <w:div w:id="18366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2287">
      <w:bodyDiv w:val="1"/>
      <w:marLeft w:val="0"/>
      <w:marRight w:val="0"/>
      <w:marTop w:val="0"/>
      <w:marBottom w:val="0"/>
      <w:divBdr>
        <w:top w:val="none" w:sz="0" w:space="0" w:color="auto"/>
        <w:left w:val="none" w:sz="0" w:space="0" w:color="auto"/>
        <w:bottom w:val="none" w:sz="0" w:space="0" w:color="auto"/>
        <w:right w:val="none" w:sz="0" w:space="0" w:color="auto"/>
      </w:divBdr>
      <w:divsChild>
        <w:div w:id="946692114">
          <w:marLeft w:val="0"/>
          <w:marRight w:val="0"/>
          <w:marTop w:val="0"/>
          <w:marBottom w:val="0"/>
          <w:divBdr>
            <w:top w:val="none" w:sz="0" w:space="0" w:color="auto"/>
            <w:left w:val="none" w:sz="0" w:space="0" w:color="auto"/>
            <w:bottom w:val="none" w:sz="0" w:space="0" w:color="auto"/>
            <w:right w:val="none" w:sz="0" w:space="0" w:color="auto"/>
          </w:divBdr>
          <w:divsChild>
            <w:div w:id="196627159">
              <w:marLeft w:val="0"/>
              <w:marRight w:val="0"/>
              <w:marTop w:val="0"/>
              <w:marBottom w:val="0"/>
              <w:divBdr>
                <w:top w:val="none" w:sz="0" w:space="0" w:color="auto"/>
                <w:left w:val="none" w:sz="0" w:space="0" w:color="auto"/>
                <w:bottom w:val="none" w:sz="0" w:space="0" w:color="auto"/>
                <w:right w:val="none" w:sz="0" w:space="0" w:color="auto"/>
              </w:divBdr>
            </w:div>
            <w:div w:id="9487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2011">
      <w:bodyDiv w:val="1"/>
      <w:marLeft w:val="0"/>
      <w:marRight w:val="0"/>
      <w:marTop w:val="0"/>
      <w:marBottom w:val="0"/>
      <w:divBdr>
        <w:top w:val="none" w:sz="0" w:space="0" w:color="auto"/>
        <w:left w:val="none" w:sz="0" w:space="0" w:color="auto"/>
        <w:bottom w:val="none" w:sz="0" w:space="0" w:color="auto"/>
        <w:right w:val="none" w:sz="0" w:space="0" w:color="auto"/>
      </w:divBdr>
      <w:divsChild>
        <w:div w:id="2073961133">
          <w:marLeft w:val="0"/>
          <w:marRight w:val="0"/>
          <w:marTop w:val="0"/>
          <w:marBottom w:val="0"/>
          <w:divBdr>
            <w:top w:val="none" w:sz="0" w:space="0" w:color="auto"/>
            <w:left w:val="none" w:sz="0" w:space="0" w:color="auto"/>
            <w:bottom w:val="none" w:sz="0" w:space="0" w:color="auto"/>
            <w:right w:val="none" w:sz="0" w:space="0" w:color="auto"/>
          </w:divBdr>
        </w:div>
      </w:divsChild>
    </w:div>
    <w:div w:id="1251039723">
      <w:bodyDiv w:val="1"/>
      <w:marLeft w:val="0"/>
      <w:marRight w:val="0"/>
      <w:marTop w:val="0"/>
      <w:marBottom w:val="0"/>
      <w:divBdr>
        <w:top w:val="none" w:sz="0" w:space="0" w:color="auto"/>
        <w:left w:val="none" w:sz="0" w:space="0" w:color="auto"/>
        <w:bottom w:val="none" w:sz="0" w:space="0" w:color="auto"/>
        <w:right w:val="none" w:sz="0" w:space="0" w:color="auto"/>
      </w:divBdr>
      <w:divsChild>
        <w:div w:id="539174323">
          <w:marLeft w:val="0"/>
          <w:marRight w:val="0"/>
          <w:marTop w:val="0"/>
          <w:marBottom w:val="0"/>
          <w:divBdr>
            <w:top w:val="none" w:sz="0" w:space="0" w:color="auto"/>
            <w:left w:val="none" w:sz="0" w:space="0" w:color="auto"/>
            <w:bottom w:val="none" w:sz="0" w:space="0" w:color="auto"/>
            <w:right w:val="none" w:sz="0" w:space="0" w:color="auto"/>
          </w:divBdr>
          <w:divsChild>
            <w:div w:id="123819278">
              <w:marLeft w:val="0"/>
              <w:marRight w:val="0"/>
              <w:marTop w:val="0"/>
              <w:marBottom w:val="0"/>
              <w:divBdr>
                <w:top w:val="none" w:sz="0" w:space="0" w:color="auto"/>
                <w:left w:val="none" w:sz="0" w:space="0" w:color="auto"/>
                <w:bottom w:val="none" w:sz="0" w:space="0" w:color="auto"/>
                <w:right w:val="none" w:sz="0" w:space="0" w:color="auto"/>
              </w:divBdr>
            </w:div>
            <w:div w:id="294986961">
              <w:marLeft w:val="0"/>
              <w:marRight w:val="0"/>
              <w:marTop w:val="0"/>
              <w:marBottom w:val="0"/>
              <w:divBdr>
                <w:top w:val="none" w:sz="0" w:space="0" w:color="auto"/>
                <w:left w:val="none" w:sz="0" w:space="0" w:color="auto"/>
                <w:bottom w:val="none" w:sz="0" w:space="0" w:color="auto"/>
                <w:right w:val="none" w:sz="0" w:space="0" w:color="auto"/>
              </w:divBdr>
            </w:div>
            <w:div w:id="523711525">
              <w:marLeft w:val="0"/>
              <w:marRight w:val="0"/>
              <w:marTop w:val="0"/>
              <w:marBottom w:val="0"/>
              <w:divBdr>
                <w:top w:val="none" w:sz="0" w:space="0" w:color="auto"/>
                <w:left w:val="none" w:sz="0" w:space="0" w:color="auto"/>
                <w:bottom w:val="none" w:sz="0" w:space="0" w:color="auto"/>
                <w:right w:val="none" w:sz="0" w:space="0" w:color="auto"/>
              </w:divBdr>
            </w:div>
            <w:div w:id="1764841078">
              <w:marLeft w:val="0"/>
              <w:marRight w:val="0"/>
              <w:marTop w:val="0"/>
              <w:marBottom w:val="0"/>
              <w:divBdr>
                <w:top w:val="none" w:sz="0" w:space="0" w:color="auto"/>
                <w:left w:val="none" w:sz="0" w:space="0" w:color="auto"/>
                <w:bottom w:val="none" w:sz="0" w:space="0" w:color="auto"/>
                <w:right w:val="none" w:sz="0" w:space="0" w:color="auto"/>
              </w:divBdr>
            </w:div>
            <w:div w:id="1974409752">
              <w:marLeft w:val="0"/>
              <w:marRight w:val="0"/>
              <w:marTop w:val="0"/>
              <w:marBottom w:val="0"/>
              <w:divBdr>
                <w:top w:val="none" w:sz="0" w:space="0" w:color="auto"/>
                <w:left w:val="none" w:sz="0" w:space="0" w:color="auto"/>
                <w:bottom w:val="none" w:sz="0" w:space="0" w:color="auto"/>
                <w:right w:val="none" w:sz="0" w:space="0" w:color="auto"/>
              </w:divBdr>
            </w:div>
            <w:div w:id="20078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092">
      <w:bodyDiv w:val="1"/>
      <w:marLeft w:val="0"/>
      <w:marRight w:val="0"/>
      <w:marTop w:val="0"/>
      <w:marBottom w:val="0"/>
      <w:divBdr>
        <w:top w:val="none" w:sz="0" w:space="0" w:color="auto"/>
        <w:left w:val="none" w:sz="0" w:space="0" w:color="auto"/>
        <w:bottom w:val="none" w:sz="0" w:space="0" w:color="auto"/>
        <w:right w:val="none" w:sz="0" w:space="0" w:color="auto"/>
      </w:divBdr>
      <w:divsChild>
        <w:div w:id="2012414908">
          <w:marLeft w:val="0"/>
          <w:marRight w:val="0"/>
          <w:marTop w:val="0"/>
          <w:marBottom w:val="0"/>
          <w:divBdr>
            <w:top w:val="none" w:sz="0" w:space="0" w:color="auto"/>
            <w:left w:val="none" w:sz="0" w:space="0" w:color="auto"/>
            <w:bottom w:val="none" w:sz="0" w:space="0" w:color="auto"/>
            <w:right w:val="none" w:sz="0" w:space="0" w:color="auto"/>
          </w:divBdr>
        </w:div>
      </w:divsChild>
    </w:div>
    <w:div w:id="1272592574">
      <w:bodyDiv w:val="1"/>
      <w:marLeft w:val="0"/>
      <w:marRight w:val="0"/>
      <w:marTop w:val="0"/>
      <w:marBottom w:val="0"/>
      <w:divBdr>
        <w:top w:val="none" w:sz="0" w:space="0" w:color="auto"/>
        <w:left w:val="none" w:sz="0" w:space="0" w:color="auto"/>
        <w:bottom w:val="none" w:sz="0" w:space="0" w:color="auto"/>
        <w:right w:val="none" w:sz="0" w:space="0" w:color="auto"/>
      </w:divBdr>
    </w:div>
    <w:div w:id="1276138872">
      <w:bodyDiv w:val="1"/>
      <w:marLeft w:val="0"/>
      <w:marRight w:val="0"/>
      <w:marTop w:val="0"/>
      <w:marBottom w:val="0"/>
      <w:divBdr>
        <w:top w:val="none" w:sz="0" w:space="0" w:color="auto"/>
        <w:left w:val="none" w:sz="0" w:space="0" w:color="auto"/>
        <w:bottom w:val="none" w:sz="0" w:space="0" w:color="auto"/>
        <w:right w:val="none" w:sz="0" w:space="0" w:color="auto"/>
      </w:divBdr>
      <w:divsChild>
        <w:div w:id="2092000221">
          <w:marLeft w:val="0"/>
          <w:marRight w:val="0"/>
          <w:marTop w:val="0"/>
          <w:marBottom w:val="0"/>
          <w:divBdr>
            <w:top w:val="none" w:sz="0" w:space="0" w:color="auto"/>
            <w:left w:val="none" w:sz="0" w:space="0" w:color="auto"/>
            <w:bottom w:val="none" w:sz="0" w:space="0" w:color="auto"/>
            <w:right w:val="none" w:sz="0" w:space="0" w:color="auto"/>
          </w:divBdr>
        </w:div>
      </w:divsChild>
    </w:div>
    <w:div w:id="1295988673">
      <w:bodyDiv w:val="1"/>
      <w:marLeft w:val="0"/>
      <w:marRight w:val="0"/>
      <w:marTop w:val="0"/>
      <w:marBottom w:val="0"/>
      <w:divBdr>
        <w:top w:val="none" w:sz="0" w:space="0" w:color="auto"/>
        <w:left w:val="none" w:sz="0" w:space="0" w:color="auto"/>
        <w:bottom w:val="none" w:sz="0" w:space="0" w:color="auto"/>
        <w:right w:val="none" w:sz="0" w:space="0" w:color="auto"/>
      </w:divBdr>
      <w:divsChild>
        <w:div w:id="923995482">
          <w:marLeft w:val="0"/>
          <w:marRight w:val="0"/>
          <w:marTop w:val="0"/>
          <w:marBottom w:val="0"/>
          <w:divBdr>
            <w:top w:val="none" w:sz="0" w:space="0" w:color="auto"/>
            <w:left w:val="none" w:sz="0" w:space="0" w:color="auto"/>
            <w:bottom w:val="none" w:sz="0" w:space="0" w:color="auto"/>
            <w:right w:val="none" w:sz="0" w:space="0" w:color="auto"/>
          </w:divBdr>
        </w:div>
      </w:divsChild>
    </w:div>
    <w:div w:id="1321620443">
      <w:bodyDiv w:val="1"/>
      <w:marLeft w:val="0"/>
      <w:marRight w:val="0"/>
      <w:marTop w:val="0"/>
      <w:marBottom w:val="0"/>
      <w:divBdr>
        <w:top w:val="none" w:sz="0" w:space="0" w:color="auto"/>
        <w:left w:val="none" w:sz="0" w:space="0" w:color="auto"/>
        <w:bottom w:val="none" w:sz="0" w:space="0" w:color="auto"/>
        <w:right w:val="none" w:sz="0" w:space="0" w:color="auto"/>
      </w:divBdr>
      <w:divsChild>
        <w:div w:id="553126304">
          <w:marLeft w:val="0"/>
          <w:marRight w:val="0"/>
          <w:marTop w:val="0"/>
          <w:marBottom w:val="0"/>
          <w:divBdr>
            <w:top w:val="none" w:sz="0" w:space="0" w:color="auto"/>
            <w:left w:val="none" w:sz="0" w:space="0" w:color="auto"/>
            <w:bottom w:val="none" w:sz="0" w:space="0" w:color="auto"/>
            <w:right w:val="none" w:sz="0" w:space="0" w:color="auto"/>
          </w:divBdr>
        </w:div>
      </w:divsChild>
    </w:div>
    <w:div w:id="1347172751">
      <w:bodyDiv w:val="1"/>
      <w:marLeft w:val="0"/>
      <w:marRight w:val="0"/>
      <w:marTop w:val="0"/>
      <w:marBottom w:val="0"/>
      <w:divBdr>
        <w:top w:val="none" w:sz="0" w:space="0" w:color="auto"/>
        <w:left w:val="none" w:sz="0" w:space="0" w:color="auto"/>
        <w:bottom w:val="none" w:sz="0" w:space="0" w:color="auto"/>
        <w:right w:val="none" w:sz="0" w:space="0" w:color="auto"/>
      </w:divBdr>
      <w:divsChild>
        <w:div w:id="811025290">
          <w:marLeft w:val="0"/>
          <w:marRight w:val="0"/>
          <w:marTop w:val="105"/>
          <w:marBottom w:val="0"/>
          <w:divBdr>
            <w:top w:val="none" w:sz="0" w:space="0" w:color="auto"/>
            <w:left w:val="none" w:sz="0" w:space="0" w:color="auto"/>
            <w:bottom w:val="none" w:sz="0" w:space="0" w:color="auto"/>
            <w:right w:val="none" w:sz="0" w:space="0" w:color="auto"/>
          </w:divBdr>
        </w:div>
        <w:div w:id="844783478">
          <w:marLeft w:val="0"/>
          <w:marRight w:val="0"/>
          <w:marTop w:val="105"/>
          <w:marBottom w:val="0"/>
          <w:divBdr>
            <w:top w:val="none" w:sz="0" w:space="0" w:color="auto"/>
            <w:left w:val="none" w:sz="0" w:space="0" w:color="auto"/>
            <w:bottom w:val="none" w:sz="0" w:space="0" w:color="auto"/>
            <w:right w:val="none" w:sz="0" w:space="0" w:color="auto"/>
          </w:divBdr>
        </w:div>
        <w:div w:id="1400976747">
          <w:marLeft w:val="0"/>
          <w:marRight w:val="0"/>
          <w:marTop w:val="105"/>
          <w:marBottom w:val="0"/>
          <w:divBdr>
            <w:top w:val="none" w:sz="0" w:space="0" w:color="auto"/>
            <w:left w:val="none" w:sz="0" w:space="0" w:color="auto"/>
            <w:bottom w:val="none" w:sz="0" w:space="0" w:color="auto"/>
            <w:right w:val="none" w:sz="0" w:space="0" w:color="auto"/>
          </w:divBdr>
        </w:div>
      </w:divsChild>
    </w:div>
    <w:div w:id="1360161520">
      <w:bodyDiv w:val="1"/>
      <w:marLeft w:val="0"/>
      <w:marRight w:val="0"/>
      <w:marTop w:val="0"/>
      <w:marBottom w:val="0"/>
      <w:divBdr>
        <w:top w:val="none" w:sz="0" w:space="0" w:color="auto"/>
        <w:left w:val="none" w:sz="0" w:space="0" w:color="auto"/>
        <w:bottom w:val="none" w:sz="0" w:space="0" w:color="auto"/>
        <w:right w:val="none" w:sz="0" w:space="0" w:color="auto"/>
      </w:divBdr>
      <w:divsChild>
        <w:div w:id="1321036499">
          <w:marLeft w:val="0"/>
          <w:marRight w:val="0"/>
          <w:marTop w:val="105"/>
          <w:marBottom w:val="0"/>
          <w:divBdr>
            <w:top w:val="none" w:sz="0" w:space="0" w:color="auto"/>
            <w:left w:val="none" w:sz="0" w:space="0" w:color="auto"/>
            <w:bottom w:val="none" w:sz="0" w:space="0" w:color="auto"/>
            <w:right w:val="none" w:sz="0" w:space="0" w:color="auto"/>
          </w:divBdr>
        </w:div>
        <w:div w:id="1456287682">
          <w:marLeft w:val="0"/>
          <w:marRight w:val="0"/>
          <w:marTop w:val="105"/>
          <w:marBottom w:val="0"/>
          <w:divBdr>
            <w:top w:val="none" w:sz="0" w:space="0" w:color="auto"/>
            <w:left w:val="none" w:sz="0" w:space="0" w:color="auto"/>
            <w:bottom w:val="none" w:sz="0" w:space="0" w:color="auto"/>
            <w:right w:val="none" w:sz="0" w:space="0" w:color="auto"/>
          </w:divBdr>
        </w:div>
      </w:divsChild>
    </w:div>
    <w:div w:id="1382631936">
      <w:bodyDiv w:val="1"/>
      <w:marLeft w:val="0"/>
      <w:marRight w:val="0"/>
      <w:marTop w:val="0"/>
      <w:marBottom w:val="0"/>
      <w:divBdr>
        <w:top w:val="none" w:sz="0" w:space="0" w:color="auto"/>
        <w:left w:val="none" w:sz="0" w:space="0" w:color="auto"/>
        <w:bottom w:val="none" w:sz="0" w:space="0" w:color="auto"/>
        <w:right w:val="none" w:sz="0" w:space="0" w:color="auto"/>
      </w:divBdr>
      <w:divsChild>
        <w:div w:id="520896081">
          <w:marLeft w:val="0"/>
          <w:marRight w:val="0"/>
          <w:marTop w:val="105"/>
          <w:marBottom w:val="0"/>
          <w:divBdr>
            <w:top w:val="none" w:sz="0" w:space="0" w:color="auto"/>
            <w:left w:val="none" w:sz="0" w:space="0" w:color="auto"/>
            <w:bottom w:val="none" w:sz="0" w:space="0" w:color="auto"/>
            <w:right w:val="none" w:sz="0" w:space="0" w:color="auto"/>
          </w:divBdr>
        </w:div>
        <w:div w:id="955869470">
          <w:marLeft w:val="0"/>
          <w:marRight w:val="0"/>
          <w:marTop w:val="105"/>
          <w:marBottom w:val="0"/>
          <w:divBdr>
            <w:top w:val="none" w:sz="0" w:space="0" w:color="auto"/>
            <w:left w:val="none" w:sz="0" w:space="0" w:color="auto"/>
            <w:bottom w:val="none" w:sz="0" w:space="0" w:color="auto"/>
            <w:right w:val="none" w:sz="0" w:space="0" w:color="auto"/>
          </w:divBdr>
        </w:div>
        <w:div w:id="1548184201">
          <w:marLeft w:val="0"/>
          <w:marRight w:val="0"/>
          <w:marTop w:val="105"/>
          <w:marBottom w:val="0"/>
          <w:divBdr>
            <w:top w:val="none" w:sz="0" w:space="0" w:color="auto"/>
            <w:left w:val="none" w:sz="0" w:space="0" w:color="auto"/>
            <w:bottom w:val="none" w:sz="0" w:space="0" w:color="auto"/>
            <w:right w:val="none" w:sz="0" w:space="0" w:color="auto"/>
          </w:divBdr>
        </w:div>
      </w:divsChild>
    </w:div>
    <w:div w:id="1387219438">
      <w:bodyDiv w:val="1"/>
      <w:marLeft w:val="0"/>
      <w:marRight w:val="0"/>
      <w:marTop w:val="0"/>
      <w:marBottom w:val="0"/>
      <w:divBdr>
        <w:top w:val="none" w:sz="0" w:space="0" w:color="auto"/>
        <w:left w:val="none" w:sz="0" w:space="0" w:color="auto"/>
        <w:bottom w:val="none" w:sz="0" w:space="0" w:color="auto"/>
        <w:right w:val="none" w:sz="0" w:space="0" w:color="auto"/>
      </w:divBdr>
      <w:divsChild>
        <w:div w:id="1749647034">
          <w:marLeft w:val="0"/>
          <w:marRight w:val="0"/>
          <w:marTop w:val="0"/>
          <w:marBottom w:val="0"/>
          <w:divBdr>
            <w:top w:val="none" w:sz="0" w:space="0" w:color="auto"/>
            <w:left w:val="none" w:sz="0" w:space="0" w:color="auto"/>
            <w:bottom w:val="none" w:sz="0" w:space="0" w:color="auto"/>
            <w:right w:val="none" w:sz="0" w:space="0" w:color="auto"/>
          </w:divBdr>
        </w:div>
      </w:divsChild>
    </w:div>
    <w:div w:id="1403021821">
      <w:bodyDiv w:val="1"/>
      <w:marLeft w:val="0"/>
      <w:marRight w:val="0"/>
      <w:marTop w:val="0"/>
      <w:marBottom w:val="0"/>
      <w:divBdr>
        <w:top w:val="none" w:sz="0" w:space="0" w:color="auto"/>
        <w:left w:val="none" w:sz="0" w:space="0" w:color="auto"/>
        <w:bottom w:val="none" w:sz="0" w:space="0" w:color="auto"/>
        <w:right w:val="none" w:sz="0" w:space="0" w:color="auto"/>
      </w:divBdr>
    </w:div>
    <w:div w:id="1415127759">
      <w:bodyDiv w:val="1"/>
      <w:marLeft w:val="0"/>
      <w:marRight w:val="0"/>
      <w:marTop w:val="0"/>
      <w:marBottom w:val="0"/>
      <w:divBdr>
        <w:top w:val="none" w:sz="0" w:space="0" w:color="auto"/>
        <w:left w:val="none" w:sz="0" w:space="0" w:color="auto"/>
        <w:bottom w:val="none" w:sz="0" w:space="0" w:color="auto"/>
        <w:right w:val="none" w:sz="0" w:space="0" w:color="auto"/>
      </w:divBdr>
      <w:divsChild>
        <w:div w:id="748311276">
          <w:marLeft w:val="0"/>
          <w:marRight w:val="0"/>
          <w:marTop w:val="105"/>
          <w:marBottom w:val="0"/>
          <w:divBdr>
            <w:top w:val="none" w:sz="0" w:space="0" w:color="auto"/>
            <w:left w:val="none" w:sz="0" w:space="0" w:color="auto"/>
            <w:bottom w:val="none" w:sz="0" w:space="0" w:color="auto"/>
            <w:right w:val="none" w:sz="0" w:space="0" w:color="auto"/>
          </w:divBdr>
        </w:div>
        <w:div w:id="999963704">
          <w:marLeft w:val="0"/>
          <w:marRight w:val="0"/>
          <w:marTop w:val="105"/>
          <w:marBottom w:val="0"/>
          <w:divBdr>
            <w:top w:val="none" w:sz="0" w:space="0" w:color="auto"/>
            <w:left w:val="none" w:sz="0" w:space="0" w:color="auto"/>
            <w:bottom w:val="none" w:sz="0" w:space="0" w:color="auto"/>
            <w:right w:val="none" w:sz="0" w:space="0" w:color="auto"/>
          </w:divBdr>
        </w:div>
      </w:divsChild>
    </w:div>
    <w:div w:id="1437479010">
      <w:bodyDiv w:val="1"/>
      <w:marLeft w:val="0"/>
      <w:marRight w:val="0"/>
      <w:marTop w:val="0"/>
      <w:marBottom w:val="0"/>
      <w:divBdr>
        <w:top w:val="none" w:sz="0" w:space="0" w:color="auto"/>
        <w:left w:val="none" w:sz="0" w:space="0" w:color="auto"/>
        <w:bottom w:val="none" w:sz="0" w:space="0" w:color="auto"/>
        <w:right w:val="none" w:sz="0" w:space="0" w:color="auto"/>
      </w:divBdr>
      <w:divsChild>
        <w:div w:id="1295598899">
          <w:marLeft w:val="0"/>
          <w:marRight w:val="0"/>
          <w:marTop w:val="0"/>
          <w:marBottom w:val="0"/>
          <w:divBdr>
            <w:top w:val="none" w:sz="0" w:space="0" w:color="auto"/>
            <w:left w:val="none" w:sz="0" w:space="0" w:color="auto"/>
            <w:bottom w:val="none" w:sz="0" w:space="0" w:color="auto"/>
            <w:right w:val="none" w:sz="0" w:space="0" w:color="auto"/>
          </w:divBdr>
          <w:divsChild>
            <w:div w:id="1568108457">
              <w:marLeft w:val="0"/>
              <w:marRight w:val="0"/>
              <w:marTop w:val="0"/>
              <w:marBottom w:val="0"/>
              <w:divBdr>
                <w:top w:val="none" w:sz="0" w:space="0" w:color="auto"/>
                <w:left w:val="none" w:sz="0" w:space="0" w:color="auto"/>
                <w:bottom w:val="none" w:sz="0" w:space="0" w:color="auto"/>
                <w:right w:val="none" w:sz="0" w:space="0" w:color="auto"/>
              </w:divBdr>
              <w:divsChild>
                <w:div w:id="1458330342">
                  <w:marLeft w:val="0"/>
                  <w:marRight w:val="0"/>
                  <w:marTop w:val="0"/>
                  <w:marBottom w:val="0"/>
                  <w:divBdr>
                    <w:top w:val="none" w:sz="0" w:space="0" w:color="auto"/>
                    <w:left w:val="none" w:sz="0" w:space="0" w:color="auto"/>
                    <w:bottom w:val="none" w:sz="0" w:space="0" w:color="auto"/>
                    <w:right w:val="none" w:sz="0" w:space="0" w:color="auto"/>
                  </w:divBdr>
                  <w:divsChild>
                    <w:div w:id="130680908">
                      <w:marLeft w:val="0"/>
                      <w:marRight w:val="0"/>
                      <w:marTop w:val="0"/>
                      <w:marBottom w:val="0"/>
                      <w:divBdr>
                        <w:top w:val="none" w:sz="0" w:space="0" w:color="auto"/>
                        <w:left w:val="none" w:sz="0" w:space="0" w:color="auto"/>
                        <w:bottom w:val="none" w:sz="0" w:space="0" w:color="auto"/>
                        <w:right w:val="none" w:sz="0" w:space="0" w:color="auto"/>
                      </w:divBdr>
                      <w:divsChild>
                        <w:div w:id="154762512">
                          <w:marLeft w:val="0"/>
                          <w:marRight w:val="0"/>
                          <w:marTop w:val="0"/>
                          <w:marBottom w:val="0"/>
                          <w:divBdr>
                            <w:top w:val="none" w:sz="0" w:space="0" w:color="auto"/>
                            <w:left w:val="none" w:sz="0" w:space="0" w:color="auto"/>
                            <w:bottom w:val="none" w:sz="0" w:space="0" w:color="auto"/>
                            <w:right w:val="none" w:sz="0" w:space="0" w:color="auto"/>
                          </w:divBdr>
                          <w:divsChild>
                            <w:div w:id="83962631">
                              <w:marLeft w:val="0"/>
                              <w:marRight w:val="0"/>
                              <w:marTop w:val="0"/>
                              <w:marBottom w:val="0"/>
                              <w:divBdr>
                                <w:top w:val="none" w:sz="0" w:space="0" w:color="auto"/>
                                <w:left w:val="none" w:sz="0" w:space="0" w:color="auto"/>
                                <w:bottom w:val="none" w:sz="0" w:space="0" w:color="auto"/>
                                <w:right w:val="none" w:sz="0" w:space="0" w:color="auto"/>
                              </w:divBdr>
                            </w:div>
                            <w:div w:id="225724868">
                              <w:marLeft w:val="0"/>
                              <w:marRight w:val="0"/>
                              <w:marTop w:val="0"/>
                              <w:marBottom w:val="0"/>
                              <w:divBdr>
                                <w:top w:val="none" w:sz="0" w:space="0" w:color="auto"/>
                                <w:left w:val="none" w:sz="0" w:space="0" w:color="auto"/>
                                <w:bottom w:val="none" w:sz="0" w:space="0" w:color="auto"/>
                                <w:right w:val="none" w:sz="0" w:space="0" w:color="auto"/>
                              </w:divBdr>
                            </w:div>
                            <w:div w:id="820076312">
                              <w:marLeft w:val="0"/>
                              <w:marRight w:val="0"/>
                              <w:marTop w:val="0"/>
                              <w:marBottom w:val="0"/>
                              <w:divBdr>
                                <w:top w:val="none" w:sz="0" w:space="0" w:color="auto"/>
                                <w:left w:val="none" w:sz="0" w:space="0" w:color="auto"/>
                                <w:bottom w:val="none" w:sz="0" w:space="0" w:color="auto"/>
                                <w:right w:val="none" w:sz="0" w:space="0" w:color="auto"/>
                              </w:divBdr>
                            </w:div>
                            <w:div w:id="1001197109">
                              <w:marLeft w:val="0"/>
                              <w:marRight w:val="0"/>
                              <w:marTop w:val="0"/>
                              <w:marBottom w:val="0"/>
                              <w:divBdr>
                                <w:top w:val="none" w:sz="0" w:space="0" w:color="auto"/>
                                <w:left w:val="none" w:sz="0" w:space="0" w:color="auto"/>
                                <w:bottom w:val="none" w:sz="0" w:space="0" w:color="auto"/>
                                <w:right w:val="none" w:sz="0" w:space="0" w:color="auto"/>
                              </w:divBdr>
                            </w:div>
                            <w:div w:id="12365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455106">
      <w:bodyDiv w:val="1"/>
      <w:marLeft w:val="0"/>
      <w:marRight w:val="0"/>
      <w:marTop w:val="0"/>
      <w:marBottom w:val="0"/>
      <w:divBdr>
        <w:top w:val="none" w:sz="0" w:space="0" w:color="auto"/>
        <w:left w:val="none" w:sz="0" w:space="0" w:color="auto"/>
        <w:bottom w:val="none" w:sz="0" w:space="0" w:color="auto"/>
        <w:right w:val="none" w:sz="0" w:space="0" w:color="auto"/>
      </w:divBdr>
      <w:divsChild>
        <w:div w:id="1191261720">
          <w:marLeft w:val="0"/>
          <w:marRight w:val="0"/>
          <w:marTop w:val="0"/>
          <w:marBottom w:val="0"/>
          <w:divBdr>
            <w:top w:val="none" w:sz="0" w:space="0" w:color="auto"/>
            <w:left w:val="none" w:sz="0" w:space="0" w:color="auto"/>
            <w:bottom w:val="none" w:sz="0" w:space="0" w:color="auto"/>
            <w:right w:val="none" w:sz="0" w:space="0" w:color="auto"/>
          </w:divBdr>
          <w:divsChild>
            <w:div w:id="159390227">
              <w:marLeft w:val="0"/>
              <w:marRight w:val="0"/>
              <w:marTop w:val="0"/>
              <w:marBottom w:val="0"/>
              <w:divBdr>
                <w:top w:val="none" w:sz="0" w:space="0" w:color="auto"/>
                <w:left w:val="none" w:sz="0" w:space="0" w:color="auto"/>
                <w:bottom w:val="none" w:sz="0" w:space="0" w:color="auto"/>
                <w:right w:val="none" w:sz="0" w:space="0" w:color="auto"/>
              </w:divBdr>
            </w:div>
            <w:div w:id="245724565">
              <w:marLeft w:val="0"/>
              <w:marRight w:val="0"/>
              <w:marTop w:val="0"/>
              <w:marBottom w:val="0"/>
              <w:divBdr>
                <w:top w:val="none" w:sz="0" w:space="0" w:color="auto"/>
                <w:left w:val="none" w:sz="0" w:space="0" w:color="auto"/>
                <w:bottom w:val="none" w:sz="0" w:space="0" w:color="auto"/>
                <w:right w:val="none" w:sz="0" w:space="0" w:color="auto"/>
              </w:divBdr>
            </w:div>
            <w:div w:id="561522783">
              <w:marLeft w:val="0"/>
              <w:marRight w:val="0"/>
              <w:marTop w:val="0"/>
              <w:marBottom w:val="0"/>
              <w:divBdr>
                <w:top w:val="none" w:sz="0" w:space="0" w:color="auto"/>
                <w:left w:val="none" w:sz="0" w:space="0" w:color="auto"/>
                <w:bottom w:val="none" w:sz="0" w:space="0" w:color="auto"/>
                <w:right w:val="none" w:sz="0" w:space="0" w:color="auto"/>
              </w:divBdr>
            </w:div>
            <w:div w:id="843321312">
              <w:marLeft w:val="0"/>
              <w:marRight w:val="0"/>
              <w:marTop w:val="0"/>
              <w:marBottom w:val="0"/>
              <w:divBdr>
                <w:top w:val="none" w:sz="0" w:space="0" w:color="auto"/>
                <w:left w:val="none" w:sz="0" w:space="0" w:color="auto"/>
                <w:bottom w:val="none" w:sz="0" w:space="0" w:color="auto"/>
                <w:right w:val="none" w:sz="0" w:space="0" w:color="auto"/>
              </w:divBdr>
            </w:div>
            <w:div w:id="1029455027">
              <w:marLeft w:val="0"/>
              <w:marRight w:val="0"/>
              <w:marTop w:val="0"/>
              <w:marBottom w:val="0"/>
              <w:divBdr>
                <w:top w:val="none" w:sz="0" w:space="0" w:color="auto"/>
                <w:left w:val="none" w:sz="0" w:space="0" w:color="auto"/>
                <w:bottom w:val="none" w:sz="0" w:space="0" w:color="auto"/>
                <w:right w:val="none" w:sz="0" w:space="0" w:color="auto"/>
              </w:divBdr>
            </w:div>
            <w:div w:id="1593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7423">
      <w:bodyDiv w:val="1"/>
      <w:marLeft w:val="0"/>
      <w:marRight w:val="0"/>
      <w:marTop w:val="0"/>
      <w:marBottom w:val="0"/>
      <w:divBdr>
        <w:top w:val="none" w:sz="0" w:space="0" w:color="auto"/>
        <w:left w:val="none" w:sz="0" w:space="0" w:color="auto"/>
        <w:bottom w:val="none" w:sz="0" w:space="0" w:color="auto"/>
        <w:right w:val="none" w:sz="0" w:space="0" w:color="auto"/>
      </w:divBdr>
      <w:divsChild>
        <w:div w:id="1116556806">
          <w:marLeft w:val="0"/>
          <w:marRight w:val="0"/>
          <w:marTop w:val="0"/>
          <w:marBottom w:val="0"/>
          <w:divBdr>
            <w:top w:val="none" w:sz="0" w:space="0" w:color="auto"/>
            <w:left w:val="none" w:sz="0" w:space="0" w:color="auto"/>
            <w:bottom w:val="none" w:sz="0" w:space="0" w:color="auto"/>
            <w:right w:val="none" w:sz="0" w:space="0" w:color="auto"/>
          </w:divBdr>
          <w:divsChild>
            <w:div w:id="144204558">
              <w:marLeft w:val="0"/>
              <w:marRight w:val="0"/>
              <w:marTop w:val="0"/>
              <w:marBottom w:val="0"/>
              <w:divBdr>
                <w:top w:val="none" w:sz="0" w:space="0" w:color="auto"/>
                <w:left w:val="none" w:sz="0" w:space="0" w:color="auto"/>
                <w:bottom w:val="none" w:sz="0" w:space="0" w:color="auto"/>
                <w:right w:val="none" w:sz="0" w:space="0" w:color="auto"/>
              </w:divBdr>
            </w:div>
            <w:div w:id="615411355">
              <w:marLeft w:val="0"/>
              <w:marRight w:val="0"/>
              <w:marTop w:val="0"/>
              <w:marBottom w:val="0"/>
              <w:divBdr>
                <w:top w:val="none" w:sz="0" w:space="0" w:color="auto"/>
                <w:left w:val="none" w:sz="0" w:space="0" w:color="auto"/>
                <w:bottom w:val="none" w:sz="0" w:space="0" w:color="auto"/>
                <w:right w:val="none" w:sz="0" w:space="0" w:color="auto"/>
              </w:divBdr>
            </w:div>
            <w:div w:id="923101019">
              <w:marLeft w:val="0"/>
              <w:marRight w:val="0"/>
              <w:marTop w:val="0"/>
              <w:marBottom w:val="0"/>
              <w:divBdr>
                <w:top w:val="none" w:sz="0" w:space="0" w:color="auto"/>
                <w:left w:val="none" w:sz="0" w:space="0" w:color="auto"/>
                <w:bottom w:val="none" w:sz="0" w:space="0" w:color="auto"/>
                <w:right w:val="none" w:sz="0" w:space="0" w:color="auto"/>
              </w:divBdr>
            </w:div>
            <w:div w:id="1038815828">
              <w:marLeft w:val="0"/>
              <w:marRight w:val="0"/>
              <w:marTop w:val="0"/>
              <w:marBottom w:val="0"/>
              <w:divBdr>
                <w:top w:val="none" w:sz="0" w:space="0" w:color="auto"/>
                <w:left w:val="none" w:sz="0" w:space="0" w:color="auto"/>
                <w:bottom w:val="none" w:sz="0" w:space="0" w:color="auto"/>
                <w:right w:val="none" w:sz="0" w:space="0" w:color="auto"/>
              </w:divBdr>
            </w:div>
            <w:div w:id="1505896622">
              <w:marLeft w:val="0"/>
              <w:marRight w:val="0"/>
              <w:marTop w:val="0"/>
              <w:marBottom w:val="0"/>
              <w:divBdr>
                <w:top w:val="none" w:sz="0" w:space="0" w:color="auto"/>
                <w:left w:val="none" w:sz="0" w:space="0" w:color="auto"/>
                <w:bottom w:val="none" w:sz="0" w:space="0" w:color="auto"/>
                <w:right w:val="none" w:sz="0" w:space="0" w:color="auto"/>
              </w:divBdr>
            </w:div>
            <w:div w:id="16803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37528">
      <w:bodyDiv w:val="1"/>
      <w:marLeft w:val="0"/>
      <w:marRight w:val="0"/>
      <w:marTop w:val="0"/>
      <w:marBottom w:val="0"/>
      <w:divBdr>
        <w:top w:val="none" w:sz="0" w:space="0" w:color="auto"/>
        <w:left w:val="none" w:sz="0" w:space="0" w:color="auto"/>
        <w:bottom w:val="none" w:sz="0" w:space="0" w:color="auto"/>
        <w:right w:val="none" w:sz="0" w:space="0" w:color="auto"/>
      </w:divBdr>
    </w:div>
    <w:div w:id="1553075155">
      <w:bodyDiv w:val="1"/>
      <w:marLeft w:val="0"/>
      <w:marRight w:val="0"/>
      <w:marTop w:val="0"/>
      <w:marBottom w:val="0"/>
      <w:divBdr>
        <w:top w:val="none" w:sz="0" w:space="0" w:color="auto"/>
        <w:left w:val="none" w:sz="0" w:space="0" w:color="auto"/>
        <w:bottom w:val="none" w:sz="0" w:space="0" w:color="auto"/>
        <w:right w:val="none" w:sz="0" w:space="0" w:color="auto"/>
      </w:divBdr>
    </w:div>
    <w:div w:id="1592621039">
      <w:bodyDiv w:val="1"/>
      <w:marLeft w:val="0"/>
      <w:marRight w:val="0"/>
      <w:marTop w:val="0"/>
      <w:marBottom w:val="0"/>
      <w:divBdr>
        <w:top w:val="none" w:sz="0" w:space="0" w:color="auto"/>
        <w:left w:val="none" w:sz="0" w:space="0" w:color="auto"/>
        <w:bottom w:val="none" w:sz="0" w:space="0" w:color="auto"/>
        <w:right w:val="none" w:sz="0" w:space="0" w:color="auto"/>
      </w:divBdr>
      <w:divsChild>
        <w:div w:id="1021518799">
          <w:marLeft w:val="0"/>
          <w:marRight w:val="0"/>
          <w:marTop w:val="0"/>
          <w:marBottom w:val="0"/>
          <w:divBdr>
            <w:top w:val="none" w:sz="0" w:space="0" w:color="auto"/>
            <w:left w:val="none" w:sz="0" w:space="0" w:color="auto"/>
            <w:bottom w:val="none" w:sz="0" w:space="0" w:color="auto"/>
            <w:right w:val="none" w:sz="0" w:space="0" w:color="auto"/>
          </w:divBdr>
        </w:div>
      </w:divsChild>
    </w:div>
    <w:div w:id="1597716399">
      <w:bodyDiv w:val="1"/>
      <w:marLeft w:val="0"/>
      <w:marRight w:val="0"/>
      <w:marTop w:val="0"/>
      <w:marBottom w:val="0"/>
      <w:divBdr>
        <w:top w:val="none" w:sz="0" w:space="0" w:color="auto"/>
        <w:left w:val="none" w:sz="0" w:space="0" w:color="auto"/>
        <w:bottom w:val="none" w:sz="0" w:space="0" w:color="auto"/>
        <w:right w:val="none" w:sz="0" w:space="0" w:color="auto"/>
      </w:divBdr>
      <w:divsChild>
        <w:div w:id="192614781">
          <w:marLeft w:val="0"/>
          <w:marRight w:val="0"/>
          <w:marTop w:val="105"/>
          <w:marBottom w:val="0"/>
          <w:divBdr>
            <w:top w:val="none" w:sz="0" w:space="0" w:color="auto"/>
            <w:left w:val="none" w:sz="0" w:space="0" w:color="auto"/>
            <w:bottom w:val="none" w:sz="0" w:space="0" w:color="auto"/>
            <w:right w:val="none" w:sz="0" w:space="0" w:color="auto"/>
          </w:divBdr>
        </w:div>
        <w:div w:id="753160644">
          <w:marLeft w:val="0"/>
          <w:marRight w:val="0"/>
          <w:marTop w:val="105"/>
          <w:marBottom w:val="0"/>
          <w:divBdr>
            <w:top w:val="none" w:sz="0" w:space="0" w:color="auto"/>
            <w:left w:val="none" w:sz="0" w:space="0" w:color="auto"/>
            <w:bottom w:val="none" w:sz="0" w:space="0" w:color="auto"/>
            <w:right w:val="none" w:sz="0" w:space="0" w:color="auto"/>
          </w:divBdr>
        </w:div>
        <w:div w:id="1847137561">
          <w:marLeft w:val="0"/>
          <w:marRight w:val="0"/>
          <w:marTop w:val="105"/>
          <w:marBottom w:val="0"/>
          <w:divBdr>
            <w:top w:val="none" w:sz="0" w:space="0" w:color="auto"/>
            <w:left w:val="none" w:sz="0" w:space="0" w:color="auto"/>
            <w:bottom w:val="none" w:sz="0" w:space="0" w:color="auto"/>
            <w:right w:val="none" w:sz="0" w:space="0" w:color="auto"/>
          </w:divBdr>
        </w:div>
        <w:div w:id="1930625952">
          <w:marLeft w:val="0"/>
          <w:marRight w:val="0"/>
          <w:marTop w:val="105"/>
          <w:marBottom w:val="0"/>
          <w:divBdr>
            <w:top w:val="none" w:sz="0" w:space="0" w:color="auto"/>
            <w:left w:val="none" w:sz="0" w:space="0" w:color="auto"/>
            <w:bottom w:val="none" w:sz="0" w:space="0" w:color="auto"/>
            <w:right w:val="none" w:sz="0" w:space="0" w:color="auto"/>
          </w:divBdr>
        </w:div>
        <w:div w:id="2043243644">
          <w:marLeft w:val="0"/>
          <w:marRight w:val="0"/>
          <w:marTop w:val="105"/>
          <w:marBottom w:val="0"/>
          <w:divBdr>
            <w:top w:val="none" w:sz="0" w:space="0" w:color="auto"/>
            <w:left w:val="none" w:sz="0" w:space="0" w:color="auto"/>
            <w:bottom w:val="none" w:sz="0" w:space="0" w:color="auto"/>
            <w:right w:val="none" w:sz="0" w:space="0" w:color="auto"/>
          </w:divBdr>
        </w:div>
      </w:divsChild>
    </w:div>
    <w:div w:id="1606881910">
      <w:bodyDiv w:val="1"/>
      <w:marLeft w:val="0"/>
      <w:marRight w:val="0"/>
      <w:marTop w:val="0"/>
      <w:marBottom w:val="0"/>
      <w:divBdr>
        <w:top w:val="none" w:sz="0" w:space="0" w:color="auto"/>
        <w:left w:val="none" w:sz="0" w:space="0" w:color="auto"/>
        <w:bottom w:val="none" w:sz="0" w:space="0" w:color="auto"/>
        <w:right w:val="none" w:sz="0" w:space="0" w:color="auto"/>
      </w:divBdr>
    </w:div>
    <w:div w:id="1608535671">
      <w:bodyDiv w:val="1"/>
      <w:marLeft w:val="0"/>
      <w:marRight w:val="0"/>
      <w:marTop w:val="0"/>
      <w:marBottom w:val="0"/>
      <w:divBdr>
        <w:top w:val="none" w:sz="0" w:space="0" w:color="auto"/>
        <w:left w:val="none" w:sz="0" w:space="0" w:color="auto"/>
        <w:bottom w:val="none" w:sz="0" w:space="0" w:color="auto"/>
        <w:right w:val="none" w:sz="0" w:space="0" w:color="auto"/>
      </w:divBdr>
      <w:divsChild>
        <w:div w:id="117530217">
          <w:marLeft w:val="0"/>
          <w:marRight w:val="0"/>
          <w:marTop w:val="105"/>
          <w:marBottom w:val="0"/>
          <w:divBdr>
            <w:top w:val="none" w:sz="0" w:space="0" w:color="auto"/>
            <w:left w:val="none" w:sz="0" w:space="0" w:color="auto"/>
            <w:bottom w:val="none" w:sz="0" w:space="0" w:color="auto"/>
            <w:right w:val="none" w:sz="0" w:space="0" w:color="auto"/>
          </w:divBdr>
        </w:div>
        <w:div w:id="724988366">
          <w:marLeft w:val="0"/>
          <w:marRight w:val="0"/>
          <w:marTop w:val="105"/>
          <w:marBottom w:val="0"/>
          <w:divBdr>
            <w:top w:val="none" w:sz="0" w:space="0" w:color="auto"/>
            <w:left w:val="none" w:sz="0" w:space="0" w:color="auto"/>
            <w:bottom w:val="none" w:sz="0" w:space="0" w:color="auto"/>
            <w:right w:val="none" w:sz="0" w:space="0" w:color="auto"/>
          </w:divBdr>
        </w:div>
        <w:div w:id="1954707300">
          <w:marLeft w:val="0"/>
          <w:marRight w:val="0"/>
          <w:marTop w:val="105"/>
          <w:marBottom w:val="0"/>
          <w:divBdr>
            <w:top w:val="none" w:sz="0" w:space="0" w:color="auto"/>
            <w:left w:val="none" w:sz="0" w:space="0" w:color="auto"/>
            <w:bottom w:val="none" w:sz="0" w:space="0" w:color="auto"/>
            <w:right w:val="none" w:sz="0" w:space="0" w:color="auto"/>
          </w:divBdr>
        </w:div>
      </w:divsChild>
    </w:div>
    <w:div w:id="1652714182">
      <w:bodyDiv w:val="1"/>
      <w:marLeft w:val="0"/>
      <w:marRight w:val="0"/>
      <w:marTop w:val="0"/>
      <w:marBottom w:val="0"/>
      <w:divBdr>
        <w:top w:val="none" w:sz="0" w:space="0" w:color="auto"/>
        <w:left w:val="none" w:sz="0" w:space="0" w:color="auto"/>
        <w:bottom w:val="none" w:sz="0" w:space="0" w:color="auto"/>
        <w:right w:val="none" w:sz="0" w:space="0" w:color="auto"/>
      </w:divBdr>
      <w:divsChild>
        <w:div w:id="993680016">
          <w:marLeft w:val="0"/>
          <w:marRight w:val="0"/>
          <w:marTop w:val="0"/>
          <w:marBottom w:val="0"/>
          <w:divBdr>
            <w:top w:val="none" w:sz="0" w:space="0" w:color="auto"/>
            <w:left w:val="none" w:sz="0" w:space="0" w:color="auto"/>
            <w:bottom w:val="none" w:sz="0" w:space="0" w:color="auto"/>
            <w:right w:val="none" w:sz="0" w:space="0" w:color="auto"/>
          </w:divBdr>
        </w:div>
      </w:divsChild>
    </w:div>
    <w:div w:id="1657033211">
      <w:bodyDiv w:val="1"/>
      <w:marLeft w:val="0"/>
      <w:marRight w:val="0"/>
      <w:marTop w:val="0"/>
      <w:marBottom w:val="0"/>
      <w:divBdr>
        <w:top w:val="none" w:sz="0" w:space="0" w:color="auto"/>
        <w:left w:val="none" w:sz="0" w:space="0" w:color="auto"/>
        <w:bottom w:val="none" w:sz="0" w:space="0" w:color="auto"/>
        <w:right w:val="none" w:sz="0" w:space="0" w:color="auto"/>
      </w:divBdr>
      <w:divsChild>
        <w:div w:id="703555240">
          <w:marLeft w:val="0"/>
          <w:marRight w:val="0"/>
          <w:marTop w:val="105"/>
          <w:marBottom w:val="0"/>
          <w:divBdr>
            <w:top w:val="none" w:sz="0" w:space="0" w:color="auto"/>
            <w:left w:val="none" w:sz="0" w:space="0" w:color="auto"/>
            <w:bottom w:val="none" w:sz="0" w:space="0" w:color="auto"/>
            <w:right w:val="none" w:sz="0" w:space="0" w:color="auto"/>
          </w:divBdr>
        </w:div>
        <w:div w:id="831145683">
          <w:marLeft w:val="0"/>
          <w:marRight w:val="0"/>
          <w:marTop w:val="105"/>
          <w:marBottom w:val="0"/>
          <w:divBdr>
            <w:top w:val="none" w:sz="0" w:space="0" w:color="auto"/>
            <w:left w:val="none" w:sz="0" w:space="0" w:color="auto"/>
            <w:bottom w:val="none" w:sz="0" w:space="0" w:color="auto"/>
            <w:right w:val="none" w:sz="0" w:space="0" w:color="auto"/>
          </w:divBdr>
        </w:div>
        <w:div w:id="933592355">
          <w:marLeft w:val="0"/>
          <w:marRight w:val="0"/>
          <w:marTop w:val="105"/>
          <w:marBottom w:val="0"/>
          <w:divBdr>
            <w:top w:val="none" w:sz="0" w:space="0" w:color="auto"/>
            <w:left w:val="none" w:sz="0" w:space="0" w:color="auto"/>
            <w:bottom w:val="none" w:sz="0" w:space="0" w:color="auto"/>
            <w:right w:val="none" w:sz="0" w:space="0" w:color="auto"/>
          </w:divBdr>
        </w:div>
        <w:div w:id="1309895813">
          <w:marLeft w:val="0"/>
          <w:marRight w:val="0"/>
          <w:marTop w:val="105"/>
          <w:marBottom w:val="0"/>
          <w:divBdr>
            <w:top w:val="none" w:sz="0" w:space="0" w:color="auto"/>
            <w:left w:val="none" w:sz="0" w:space="0" w:color="auto"/>
            <w:bottom w:val="none" w:sz="0" w:space="0" w:color="auto"/>
            <w:right w:val="none" w:sz="0" w:space="0" w:color="auto"/>
          </w:divBdr>
        </w:div>
        <w:div w:id="1518691518">
          <w:marLeft w:val="0"/>
          <w:marRight w:val="0"/>
          <w:marTop w:val="105"/>
          <w:marBottom w:val="0"/>
          <w:divBdr>
            <w:top w:val="none" w:sz="0" w:space="0" w:color="auto"/>
            <w:left w:val="none" w:sz="0" w:space="0" w:color="auto"/>
            <w:bottom w:val="none" w:sz="0" w:space="0" w:color="auto"/>
            <w:right w:val="none" w:sz="0" w:space="0" w:color="auto"/>
          </w:divBdr>
        </w:div>
        <w:div w:id="1719938643">
          <w:marLeft w:val="0"/>
          <w:marRight w:val="0"/>
          <w:marTop w:val="105"/>
          <w:marBottom w:val="0"/>
          <w:divBdr>
            <w:top w:val="none" w:sz="0" w:space="0" w:color="auto"/>
            <w:left w:val="none" w:sz="0" w:space="0" w:color="auto"/>
            <w:bottom w:val="none" w:sz="0" w:space="0" w:color="auto"/>
            <w:right w:val="none" w:sz="0" w:space="0" w:color="auto"/>
          </w:divBdr>
        </w:div>
      </w:divsChild>
    </w:div>
    <w:div w:id="1662654543">
      <w:bodyDiv w:val="1"/>
      <w:marLeft w:val="0"/>
      <w:marRight w:val="0"/>
      <w:marTop w:val="0"/>
      <w:marBottom w:val="0"/>
      <w:divBdr>
        <w:top w:val="none" w:sz="0" w:space="0" w:color="auto"/>
        <w:left w:val="none" w:sz="0" w:space="0" w:color="auto"/>
        <w:bottom w:val="none" w:sz="0" w:space="0" w:color="auto"/>
        <w:right w:val="none" w:sz="0" w:space="0" w:color="auto"/>
      </w:divBdr>
      <w:divsChild>
        <w:div w:id="946349334">
          <w:marLeft w:val="0"/>
          <w:marRight w:val="0"/>
          <w:marTop w:val="105"/>
          <w:marBottom w:val="0"/>
          <w:divBdr>
            <w:top w:val="none" w:sz="0" w:space="0" w:color="auto"/>
            <w:left w:val="none" w:sz="0" w:space="0" w:color="auto"/>
            <w:bottom w:val="none" w:sz="0" w:space="0" w:color="auto"/>
            <w:right w:val="none" w:sz="0" w:space="0" w:color="auto"/>
          </w:divBdr>
        </w:div>
        <w:div w:id="1072310754">
          <w:marLeft w:val="0"/>
          <w:marRight w:val="0"/>
          <w:marTop w:val="105"/>
          <w:marBottom w:val="0"/>
          <w:divBdr>
            <w:top w:val="none" w:sz="0" w:space="0" w:color="auto"/>
            <w:left w:val="none" w:sz="0" w:space="0" w:color="auto"/>
            <w:bottom w:val="none" w:sz="0" w:space="0" w:color="auto"/>
            <w:right w:val="none" w:sz="0" w:space="0" w:color="auto"/>
          </w:divBdr>
        </w:div>
      </w:divsChild>
    </w:div>
    <w:div w:id="1679967930">
      <w:bodyDiv w:val="1"/>
      <w:marLeft w:val="0"/>
      <w:marRight w:val="0"/>
      <w:marTop w:val="0"/>
      <w:marBottom w:val="0"/>
      <w:divBdr>
        <w:top w:val="none" w:sz="0" w:space="0" w:color="auto"/>
        <w:left w:val="none" w:sz="0" w:space="0" w:color="auto"/>
        <w:bottom w:val="none" w:sz="0" w:space="0" w:color="auto"/>
        <w:right w:val="none" w:sz="0" w:space="0" w:color="auto"/>
      </w:divBdr>
      <w:divsChild>
        <w:div w:id="1545021295">
          <w:marLeft w:val="0"/>
          <w:marRight w:val="0"/>
          <w:marTop w:val="0"/>
          <w:marBottom w:val="0"/>
          <w:divBdr>
            <w:top w:val="none" w:sz="0" w:space="0" w:color="auto"/>
            <w:left w:val="none" w:sz="0" w:space="0" w:color="auto"/>
            <w:bottom w:val="none" w:sz="0" w:space="0" w:color="auto"/>
            <w:right w:val="none" w:sz="0" w:space="0" w:color="auto"/>
          </w:divBdr>
          <w:divsChild>
            <w:div w:id="583030735">
              <w:marLeft w:val="0"/>
              <w:marRight w:val="0"/>
              <w:marTop w:val="0"/>
              <w:marBottom w:val="0"/>
              <w:divBdr>
                <w:top w:val="none" w:sz="0" w:space="0" w:color="auto"/>
                <w:left w:val="none" w:sz="0" w:space="0" w:color="auto"/>
                <w:bottom w:val="none" w:sz="0" w:space="0" w:color="auto"/>
                <w:right w:val="none" w:sz="0" w:space="0" w:color="auto"/>
              </w:divBdr>
            </w:div>
            <w:div w:id="656302101">
              <w:marLeft w:val="0"/>
              <w:marRight w:val="0"/>
              <w:marTop w:val="0"/>
              <w:marBottom w:val="0"/>
              <w:divBdr>
                <w:top w:val="none" w:sz="0" w:space="0" w:color="auto"/>
                <w:left w:val="none" w:sz="0" w:space="0" w:color="auto"/>
                <w:bottom w:val="none" w:sz="0" w:space="0" w:color="auto"/>
                <w:right w:val="none" w:sz="0" w:space="0" w:color="auto"/>
              </w:divBdr>
            </w:div>
            <w:div w:id="10939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8086">
      <w:bodyDiv w:val="1"/>
      <w:marLeft w:val="0"/>
      <w:marRight w:val="0"/>
      <w:marTop w:val="0"/>
      <w:marBottom w:val="0"/>
      <w:divBdr>
        <w:top w:val="none" w:sz="0" w:space="0" w:color="auto"/>
        <w:left w:val="none" w:sz="0" w:space="0" w:color="auto"/>
        <w:bottom w:val="none" w:sz="0" w:space="0" w:color="auto"/>
        <w:right w:val="none" w:sz="0" w:space="0" w:color="auto"/>
      </w:divBdr>
      <w:divsChild>
        <w:div w:id="1877231827">
          <w:marLeft w:val="0"/>
          <w:marRight w:val="0"/>
          <w:marTop w:val="0"/>
          <w:marBottom w:val="0"/>
          <w:divBdr>
            <w:top w:val="none" w:sz="0" w:space="0" w:color="auto"/>
            <w:left w:val="none" w:sz="0" w:space="0" w:color="auto"/>
            <w:bottom w:val="none" w:sz="0" w:space="0" w:color="auto"/>
            <w:right w:val="none" w:sz="0" w:space="0" w:color="auto"/>
          </w:divBdr>
          <w:divsChild>
            <w:div w:id="16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0996">
      <w:bodyDiv w:val="1"/>
      <w:marLeft w:val="0"/>
      <w:marRight w:val="0"/>
      <w:marTop w:val="0"/>
      <w:marBottom w:val="0"/>
      <w:divBdr>
        <w:top w:val="none" w:sz="0" w:space="0" w:color="auto"/>
        <w:left w:val="none" w:sz="0" w:space="0" w:color="auto"/>
        <w:bottom w:val="none" w:sz="0" w:space="0" w:color="auto"/>
        <w:right w:val="none" w:sz="0" w:space="0" w:color="auto"/>
      </w:divBdr>
      <w:divsChild>
        <w:div w:id="1455372465">
          <w:marLeft w:val="0"/>
          <w:marRight w:val="0"/>
          <w:marTop w:val="0"/>
          <w:marBottom w:val="0"/>
          <w:divBdr>
            <w:top w:val="none" w:sz="0" w:space="0" w:color="auto"/>
            <w:left w:val="none" w:sz="0" w:space="0" w:color="auto"/>
            <w:bottom w:val="none" w:sz="0" w:space="0" w:color="auto"/>
            <w:right w:val="none" w:sz="0" w:space="0" w:color="auto"/>
          </w:divBdr>
        </w:div>
      </w:divsChild>
    </w:div>
    <w:div w:id="1747991715">
      <w:bodyDiv w:val="1"/>
      <w:marLeft w:val="0"/>
      <w:marRight w:val="0"/>
      <w:marTop w:val="0"/>
      <w:marBottom w:val="0"/>
      <w:divBdr>
        <w:top w:val="none" w:sz="0" w:space="0" w:color="auto"/>
        <w:left w:val="none" w:sz="0" w:space="0" w:color="auto"/>
        <w:bottom w:val="none" w:sz="0" w:space="0" w:color="auto"/>
        <w:right w:val="none" w:sz="0" w:space="0" w:color="auto"/>
      </w:divBdr>
      <w:divsChild>
        <w:div w:id="1561987686">
          <w:marLeft w:val="0"/>
          <w:marRight w:val="0"/>
          <w:marTop w:val="0"/>
          <w:marBottom w:val="0"/>
          <w:divBdr>
            <w:top w:val="none" w:sz="0" w:space="0" w:color="auto"/>
            <w:left w:val="none" w:sz="0" w:space="0" w:color="auto"/>
            <w:bottom w:val="none" w:sz="0" w:space="0" w:color="auto"/>
            <w:right w:val="none" w:sz="0" w:space="0" w:color="auto"/>
          </w:divBdr>
          <w:divsChild>
            <w:div w:id="577861749">
              <w:marLeft w:val="0"/>
              <w:marRight w:val="0"/>
              <w:marTop w:val="0"/>
              <w:marBottom w:val="0"/>
              <w:divBdr>
                <w:top w:val="none" w:sz="0" w:space="0" w:color="auto"/>
                <w:left w:val="none" w:sz="0" w:space="0" w:color="auto"/>
                <w:bottom w:val="none" w:sz="0" w:space="0" w:color="auto"/>
                <w:right w:val="none" w:sz="0" w:space="0" w:color="auto"/>
              </w:divBdr>
              <w:divsChild>
                <w:div w:id="331762871">
                  <w:marLeft w:val="0"/>
                  <w:marRight w:val="0"/>
                  <w:marTop w:val="0"/>
                  <w:marBottom w:val="0"/>
                  <w:divBdr>
                    <w:top w:val="none" w:sz="0" w:space="0" w:color="auto"/>
                    <w:left w:val="none" w:sz="0" w:space="0" w:color="auto"/>
                    <w:bottom w:val="none" w:sz="0" w:space="0" w:color="auto"/>
                    <w:right w:val="none" w:sz="0" w:space="0" w:color="auto"/>
                  </w:divBdr>
                  <w:divsChild>
                    <w:div w:id="56247031">
                      <w:marLeft w:val="0"/>
                      <w:marRight w:val="0"/>
                      <w:marTop w:val="0"/>
                      <w:marBottom w:val="0"/>
                      <w:divBdr>
                        <w:top w:val="none" w:sz="0" w:space="0" w:color="auto"/>
                        <w:left w:val="none" w:sz="0" w:space="0" w:color="auto"/>
                        <w:bottom w:val="none" w:sz="0" w:space="0" w:color="auto"/>
                        <w:right w:val="none" w:sz="0" w:space="0" w:color="auto"/>
                      </w:divBdr>
                      <w:divsChild>
                        <w:div w:id="673841622">
                          <w:marLeft w:val="0"/>
                          <w:marRight w:val="0"/>
                          <w:marTop w:val="0"/>
                          <w:marBottom w:val="0"/>
                          <w:divBdr>
                            <w:top w:val="none" w:sz="0" w:space="0" w:color="auto"/>
                            <w:left w:val="none" w:sz="0" w:space="0" w:color="auto"/>
                            <w:bottom w:val="none" w:sz="0" w:space="0" w:color="auto"/>
                            <w:right w:val="none" w:sz="0" w:space="0" w:color="auto"/>
                          </w:divBdr>
                          <w:divsChild>
                            <w:div w:id="43070343">
                              <w:marLeft w:val="0"/>
                              <w:marRight w:val="0"/>
                              <w:marTop w:val="0"/>
                              <w:marBottom w:val="0"/>
                              <w:divBdr>
                                <w:top w:val="none" w:sz="0" w:space="0" w:color="auto"/>
                                <w:left w:val="none" w:sz="0" w:space="0" w:color="auto"/>
                                <w:bottom w:val="none" w:sz="0" w:space="0" w:color="auto"/>
                                <w:right w:val="none" w:sz="0" w:space="0" w:color="auto"/>
                              </w:divBdr>
                            </w:div>
                            <w:div w:id="205139336">
                              <w:marLeft w:val="0"/>
                              <w:marRight w:val="0"/>
                              <w:marTop w:val="0"/>
                              <w:marBottom w:val="0"/>
                              <w:divBdr>
                                <w:top w:val="none" w:sz="0" w:space="0" w:color="auto"/>
                                <w:left w:val="none" w:sz="0" w:space="0" w:color="auto"/>
                                <w:bottom w:val="none" w:sz="0" w:space="0" w:color="auto"/>
                                <w:right w:val="none" w:sz="0" w:space="0" w:color="auto"/>
                              </w:divBdr>
                            </w:div>
                            <w:div w:id="514417527">
                              <w:marLeft w:val="0"/>
                              <w:marRight w:val="0"/>
                              <w:marTop w:val="0"/>
                              <w:marBottom w:val="0"/>
                              <w:divBdr>
                                <w:top w:val="none" w:sz="0" w:space="0" w:color="auto"/>
                                <w:left w:val="none" w:sz="0" w:space="0" w:color="auto"/>
                                <w:bottom w:val="none" w:sz="0" w:space="0" w:color="auto"/>
                                <w:right w:val="none" w:sz="0" w:space="0" w:color="auto"/>
                              </w:divBdr>
                            </w:div>
                            <w:div w:id="14998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61692">
      <w:bodyDiv w:val="1"/>
      <w:marLeft w:val="0"/>
      <w:marRight w:val="0"/>
      <w:marTop w:val="0"/>
      <w:marBottom w:val="0"/>
      <w:divBdr>
        <w:top w:val="none" w:sz="0" w:space="0" w:color="auto"/>
        <w:left w:val="none" w:sz="0" w:space="0" w:color="auto"/>
        <w:bottom w:val="none" w:sz="0" w:space="0" w:color="auto"/>
        <w:right w:val="none" w:sz="0" w:space="0" w:color="auto"/>
      </w:divBdr>
      <w:divsChild>
        <w:div w:id="540476943">
          <w:marLeft w:val="0"/>
          <w:marRight w:val="0"/>
          <w:marTop w:val="0"/>
          <w:marBottom w:val="0"/>
          <w:divBdr>
            <w:top w:val="none" w:sz="0" w:space="0" w:color="auto"/>
            <w:left w:val="none" w:sz="0" w:space="0" w:color="auto"/>
            <w:bottom w:val="none" w:sz="0" w:space="0" w:color="auto"/>
            <w:right w:val="none" w:sz="0" w:space="0" w:color="auto"/>
          </w:divBdr>
        </w:div>
      </w:divsChild>
    </w:div>
    <w:div w:id="1759669022">
      <w:bodyDiv w:val="1"/>
      <w:marLeft w:val="0"/>
      <w:marRight w:val="0"/>
      <w:marTop w:val="0"/>
      <w:marBottom w:val="0"/>
      <w:divBdr>
        <w:top w:val="none" w:sz="0" w:space="0" w:color="auto"/>
        <w:left w:val="none" w:sz="0" w:space="0" w:color="auto"/>
        <w:bottom w:val="none" w:sz="0" w:space="0" w:color="auto"/>
        <w:right w:val="none" w:sz="0" w:space="0" w:color="auto"/>
      </w:divBdr>
      <w:divsChild>
        <w:div w:id="823088816">
          <w:marLeft w:val="0"/>
          <w:marRight w:val="0"/>
          <w:marTop w:val="105"/>
          <w:marBottom w:val="0"/>
          <w:divBdr>
            <w:top w:val="none" w:sz="0" w:space="0" w:color="auto"/>
            <w:left w:val="none" w:sz="0" w:space="0" w:color="auto"/>
            <w:bottom w:val="none" w:sz="0" w:space="0" w:color="auto"/>
            <w:right w:val="none" w:sz="0" w:space="0" w:color="auto"/>
          </w:divBdr>
        </w:div>
        <w:div w:id="1387528758">
          <w:marLeft w:val="0"/>
          <w:marRight w:val="0"/>
          <w:marTop w:val="105"/>
          <w:marBottom w:val="0"/>
          <w:divBdr>
            <w:top w:val="none" w:sz="0" w:space="0" w:color="auto"/>
            <w:left w:val="none" w:sz="0" w:space="0" w:color="auto"/>
            <w:bottom w:val="none" w:sz="0" w:space="0" w:color="auto"/>
            <w:right w:val="none" w:sz="0" w:space="0" w:color="auto"/>
          </w:divBdr>
        </w:div>
      </w:divsChild>
    </w:div>
    <w:div w:id="1759868475">
      <w:bodyDiv w:val="1"/>
      <w:marLeft w:val="0"/>
      <w:marRight w:val="0"/>
      <w:marTop w:val="0"/>
      <w:marBottom w:val="0"/>
      <w:divBdr>
        <w:top w:val="none" w:sz="0" w:space="0" w:color="auto"/>
        <w:left w:val="none" w:sz="0" w:space="0" w:color="auto"/>
        <w:bottom w:val="none" w:sz="0" w:space="0" w:color="auto"/>
        <w:right w:val="none" w:sz="0" w:space="0" w:color="auto"/>
      </w:divBdr>
      <w:divsChild>
        <w:div w:id="1253272973">
          <w:marLeft w:val="0"/>
          <w:marRight w:val="0"/>
          <w:marTop w:val="0"/>
          <w:marBottom w:val="0"/>
          <w:divBdr>
            <w:top w:val="none" w:sz="0" w:space="0" w:color="auto"/>
            <w:left w:val="none" w:sz="0" w:space="0" w:color="auto"/>
            <w:bottom w:val="none" w:sz="0" w:space="0" w:color="auto"/>
            <w:right w:val="none" w:sz="0" w:space="0" w:color="auto"/>
          </w:divBdr>
          <w:divsChild>
            <w:div w:id="210771970">
              <w:marLeft w:val="0"/>
              <w:marRight w:val="0"/>
              <w:marTop w:val="0"/>
              <w:marBottom w:val="0"/>
              <w:divBdr>
                <w:top w:val="none" w:sz="0" w:space="0" w:color="auto"/>
                <w:left w:val="none" w:sz="0" w:space="0" w:color="auto"/>
                <w:bottom w:val="none" w:sz="0" w:space="0" w:color="auto"/>
                <w:right w:val="none" w:sz="0" w:space="0" w:color="auto"/>
              </w:divBdr>
            </w:div>
            <w:div w:id="311375011">
              <w:marLeft w:val="0"/>
              <w:marRight w:val="0"/>
              <w:marTop w:val="0"/>
              <w:marBottom w:val="0"/>
              <w:divBdr>
                <w:top w:val="none" w:sz="0" w:space="0" w:color="auto"/>
                <w:left w:val="none" w:sz="0" w:space="0" w:color="auto"/>
                <w:bottom w:val="none" w:sz="0" w:space="0" w:color="auto"/>
                <w:right w:val="none" w:sz="0" w:space="0" w:color="auto"/>
              </w:divBdr>
            </w:div>
            <w:div w:id="421143081">
              <w:marLeft w:val="0"/>
              <w:marRight w:val="0"/>
              <w:marTop w:val="0"/>
              <w:marBottom w:val="0"/>
              <w:divBdr>
                <w:top w:val="none" w:sz="0" w:space="0" w:color="auto"/>
                <w:left w:val="none" w:sz="0" w:space="0" w:color="auto"/>
                <w:bottom w:val="none" w:sz="0" w:space="0" w:color="auto"/>
                <w:right w:val="none" w:sz="0" w:space="0" w:color="auto"/>
              </w:divBdr>
            </w:div>
            <w:div w:id="871070064">
              <w:marLeft w:val="0"/>
              <w:marRight w:val="0"/>
              <w:marTop w:val="0"/>
              <w:marBottom w:val="0"/>
              <w:divBdr>
                <w:top w:val="none" w:sz="0" w:space="0" w:color="auto"/>
                <w:left w:val="none" w:sz="0" w:space="0" w:color="auto"/>
                <w:bottom w:val="none" w:sz="0" w:space="0" w:color="auto"/>
                <w:right w:val="none" w:sz="0" w:space="0" w:color="auto"/>
              </w:divBdr>
            </w:div>
            <w:div w:id="1654942598">
              <w:marLeft w:val="0"/>
              <w:marRight w:val="0"/>
              <w:marTop w:val="0"/>
              <w:marBottom w:val="0"/>
              <w:divBdr>
                <w:top w:val="none" w:sz="0" w:space="0" w:color="auto"/>
                <w:left w:val="none" w:sz="0" w:space="0" w:color="auto"/>
                <w:bottom w:val="none" w:sz="0" w:space="0" w:color="auto"/>
                <w:right w:val="none" w:sz="0" w:space="0" w:color="auto"/>
              </w:divBdr>
            </w:div>
            <w:div w:id="1796831431">
              <w:marLeft w:val="0"/>
              <w:marRight w:val="0"/>
              <w:marTop w:val="0"/>
              <w:marBottom w:val="0"/>
              <w:divBdr>
                <w:top w:val="none" w:sz="0" w:space="0" w:color="auto"/>
                <w:left w:val="none" w:sz="0" w:space="0" w:color="auto"/>
                <w:bottom w:val="none" w:sz="0" w:space="0" w:color="auto"/>
                <w:right w:val="none" w:sz="0" w:space="0" w:color="auto"/>
              </w:divBdr>
            </w:div>
            <w:div w:id="1853451088">
              <w:marLeft w:val="0"/>
              <w:marRight w:val="0"/>
              <w:marTop w:val="0"/>
              <w:marBottom w:val="0"/>
              <w:divBdr>
                <w:top w:val="none" w:sz="0" w:space="0" w:color="auto"/>
                <w:left w:val="none" w:sz="0" w:space="0" w:color="auto"/>
                <w:bottom w:val="none" w:sz="0" w:space="0" w:color="auto"/>
                <w:right w:val="none" w:sz="0" w:space="0" w:color="auto"/>
              </w:divBdr>
            </w:div>
            <w:div w:id="1951235482">
              <w:marLeft w:val="0"/>
              <w:marRight w:val="0"/>
              <w:marTop w:val="0"/>
              <w:marBottom w:val="0"/>
              <w:divBdr>
                <w:top w:val="none" w:sz="0" w:space="0" w:color="auto"/>
                <w:left w:val="none" w:sz="0" w:space="0" w:color="auto"/>
                <w:bottom w:val="none" w:sz="0" w:space="0" w:color="auto"/>
                <w:right w:val="none" w:sz="0" w:space="0" w:color="auto"/>
              </w:divBdr>
            </w:div>
            <w:div w:id="2000572270">
              <w:marLeft w:val="0"/>
              <w:marRight w:val="0"/>
              <w:marTop w:val="0"/>
              <w:marBottom w:val="0"/>
              <w:divBdr>
                <w:top w:val="none" w:sz="0" w:space="0" w:color="auto"/>
                <w:left w:val="none" w:sz="0" w:space="0" w:color="auto"/>
                <w:bottom w:val="none" w:sz="0" w:space="0" w:color="auto"/>
                <w:right w:val="none" w:sz="0" w:space="0" w:color="auto"/>
              </w:divBdr>
            </w:div>
            <w:div w:id="20094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191">
      <w:bodyDiv w:val="1"/>
      <w:marLeft w:val="0"/>
      <w:marRight w:val="0"/>
      <w:marTop w:val="0"/>
      <w:marBottom w:val="0"/>
      <w:divBdr>
        <w:top w:val="none" w:sz="0" w:space="0" w:color="auto"/>
        <w:left w:val="none" w:sz="0" w:space="0" w:color="auto"/>
        <w:bottom w:val="none" w:sz="0" w:space="0" w:color="auto"/>
        <w:right w:val="none" w:sz="0" w:space="0" w:color="auto"/>
      </w:divBdr>
    </w:div>
    <w:div w:id="1785342152">
      <w:bodyDiv w:val="1"/>
      <w:marLeft w:val="0"/>
      <w:marRight w:val="0"/>
      <w:marTop w:val="0"/>
      <w:marBottom w:val="0"/>
      <w:divBdr>
        <w:top w:val="none" w:sz="0" w:space="0" w:color="auto"/>
        <w:left w:val="none" w:sz="0" w:space="0" w:color="auto"/>
        <w:bottom w:val="none" w:sz="0" w:space="0" w:color="auto"/>
        <w:right w:val="none" w:sz="0" w:space="0" w:color="auto"/>
      </w:divBdr>
      <w:divsChild>
        <w:div w:id="443160553">
          <w:marLeft w:val="0"/>
          <w:marRight w:val="0"/>
          <w:marTop w:val="105"/>
          <w:marBottom w:val="0"/>
          <w:divBdr>
            <w:top w:val="none" w:sz="0" w:space="0" w:color="auto"/>
            <w:left w:val="none" w:sz="0" w:space="0" w:color="auto"/>
            <w:bottom w:val="none" w:sz="0" w:space="0" w:color="auto"/>
            <w:right w:val="none" w:sz="0" w:space="0" w:color="auto"/>
          </w:divBdr>
        </w:div>
        <w:div w:id="1507674213">
          <w:marLeft w:val="0"/>
          <w:marRight w:val="0"/>
          <w:marTop w:val="105"/>
          <w:marBottom w:val="0"/>
          <w:divBdr>
            <w:top w:val="none" w:sz="0" w:space="0" w:color="auto"/>
            <w:left w:val="none" w:sz="0" w:space="0" w:color="auto"/>
            <w:bottom w:val="none" w:sz="0" w:space="0" w:color="auto"/>
            <w:right w:val="none" w:sz="0" w:space="0" w:color="auto"/>
          </w:divBdr>
        </w:div>
        <w:div w:id="1717580272">
          <w:marLeft w:val="0"/>
          <w:marRight w:val="0"/>
          <w:marTop w:val="105"/>
          <w:marBottom w:val="0"/>
          <w:divBdr>
            <w:top w:val="none" w:sz="0" w:space="0" w:color="auto"/>
            <w:left w:val="none" w:sz="0" w:space="0" w:color="auto"/>
            <w:bottom w:val="none" w:sz="0" w:space="0" w:color="auto"/>
            <w:right w:val="none" w:sz="0" w:space="0" w:color="auto"/>
          </w:divBdr>
        </w:div>
      </w:divsChild>
    </w:div>
    <w:div w:id="1829707157">
      <w:bodyDiv w:val="1"/>
      <w:marLeft w:val="0"/>
      <w:marRight w:val="0"/>
      <w:marTop w:val="0"/>
      <w:marBottom w:val="0"/>
      <w:divBdr>
        <w:top w:val="none" w:sz="0" w:space="0" w:color="auto"/>
        <w:left w:val="none" w:sz="0" w:space="0" w:color="auto"/>
        <w:bottom w:val="none" w:sz="0" w:space="0" w:color="auto"/>
        <w:right w:val="none" w:sz="0" w:space="0" w:color="auto"/>
      </w:divBdr>
      <w:divsChild>
        <w:div w:id="143399034">
          <w:marLeft w:val="0"/>
          <w:marRight w:val="0"/>
          <w:marTop w:val="105"/>
          <w:marBottom w:val="0"/>
          <w:divBdr>
            <w:top w:val="none" w:sz="0" w:space="0" w:color="auto"/>
            <w:left w:val="none" w:sz="0" w:space="0" w:color="auto"/>
            <w:bottom w:val="none" w:sz="0" w:space="0" w:color="auto"/>
            <w:right w:val="none" w:sz="0" w:space="0" w:color="auto"/>
          </w:divBdr>
        </w:div>
        <w:div w:id="330069093">
          <w:marLeft w:val="0"/>
          <w:marRight w:val="0"/>
          <w:marTop w:val="105"/>
          <w:marBottom w:val="0"/>
          <w:divBdr>
            <w:top w:val="none" w:sz="0" w:space="0" w:color="auto"/>
            <w:left w:val="none" w:sz="0" w:space="0" w:color="auto"/>
            <w:bottom w:val="none" w:sz="0" w:space="0" w:color="auto"/>
            <w:right w:val="none" w:sz="0" w:space="0" w:color="auto"/>
          </w:divBdr>
        </w:div>
        <w:div w:id="1057894829">
          <w:marLeft w:val="0"/>
          <w:marRight w:val="0"/>
          <w:marTop w:val="105"/>
          <w:marBottom w:val="0"/>
          <w:divBdr>
            <w:top w:val="none" w:sz="0" w:space="0" w:color="auto"/>
            <w:left w:val="none" w:sz="0" w:space="0" w:color="auto"/>
            <w:bottom w:val="none" w:sz="0" w:space="0" w:color="auto"/>
            <w:right w:val="none" w:sz="0" w:space="0" w:color="auto"/>
          </w:divBdr>
        </w:div>
        <w:div w:id="1423179789">
          <w:marLeft w:val="0"/>
          <w:marRight w:val="0"/>
          <w:marTop w:val="105"/>
          <w:marBottom w:val="0"/>
          <w:divBdr>
            <w:top w:val="none" w:sz="0" w:space="0" w:color="auto"/>
            <w:left w:val="none" w:sz="0" w:space="0" w:color="auto"/>
            <w:bottom w:val="none" w:sz="0" w:space="0" w:color="auto"/>
            <w:right w:val="none" w:sz="0" w:space="0" w:color="auto"/>
          </w:divBdr>
        </w:div>
        <w:div w:id="1612856436">
          <w:marLeft w:val="0"/>
          <w:marRight w:val="0"/>
          <w:marTop w:val="105"/>
          <w:marBottom w:val="0"/>
          <w:divBdr>
            <w:top w:val="none" w:sz="0" w:space="0" w:color="auto"/>
            <w:left w:val="none" w:sz="0" w:space="0" w:color="auto"/>
            <w:bottom w:val="none" w:sz="0" w:space="0" w:color="auto"/>
            <w:right w:val="none" w:sz="0" w:space="0" w:color="auto"/>
          </w:divBdr>
        </w:div>
      </w:divsChild>
    </w:div>
    <w:div w:id="1869444005">
      <w:bodyDiv w:val="1"/>
      <w:marLeft w:val="0"/>
      <w:marRight w:val="0"/>
      <w:marTop w:val="0"/>
      <w:marBottom w:val="0"/>
      <w:divBdr>
        <w:top w:val="none" w:sz="0" w:space="0" w:color="auto"/>
        <w:left w:val="none" w:sz="0" w:space="0" w:color="auto"/>
        <w:bottom w:val="none" w:sz="0" w:space="0" w:color="auto"/>
        <w:right w:val="none" w:sz="0" w:space="0" w:color="auto"/>
      </w:divBdr>
      <w:divsChild>
        <w:div w:id="1824423117">
          <w:marLeft w:val="0"/>
          <w:marRight w:val="0"/>
          <w:marTop w:val="0"/>
          <w:marBottom w:val="0"/>
          <w:divBdr>
            <w:top w:val="none" w:sz="0" w:space="0" w:color="auto"/>
            <w:left w:val="none" w:sz="0" w:space="0" w:color="auto"/>
            <w:bottom w:val="none" w:sz="0" w:space="0" w:color="auto"/>
            <w:right w:val="none" w:sz="0" w:space="0" w:color="auto"/>
          </w:divBdr>
        </w:div>
      </w:divsChild>
    </w:div>
    <w:div w:id="1874883256">
      <w:bodyDiv w:val="1"/>
      <w:marLeft w:val="0"/>
      <w:marRight w:val="0"/>
      <w:marTop w:val="0"/>
      <w:marBottom w:val="0"/>
      <w:divBdr>
        <w:top w:val="none" w:sz="0" w:space="0" w:color="auto"/>
        <w:left w:val="none" w:sz="0" w:space="0" w:color="auto"/>
        <w:bottom w:val="none" w:sz="0" w:space="0" w:color="auto"/>
        <w:right w:val="none" w:sz="0" w:space="0" w:color="auto"/>
      </w:divBdr>
      <w:divsChild>
        <w:div w:id="1392264436">
          <w:marLeft w:val="0"/>
          <w:marRight w:val="0"/>
          <w:marTop w:val="0"/>
          <w:marBottom w:val="0"/>
          <w:divBdr>
            <w:top w:val="none" w:sz="0" w:space="0" w:color="auto"/>
            <w:left w:val="none" w:sz="0" w:space="0" w:color="auto"/>
            <w:bottom w:val="none" w:sz="0" w:space="0" w:color="auto"/>
            <w:right w:val="none" w:sz="0" w:space="0" w:color="auto"/>
          </w:divBdr>
        </w:div>
      </w:divsChild>
    </w:div>
    <w:div w:id="1883440562">
      <w:bodyDiv w:val="1"/>
      <w:marLeft w:val="0"/>
      <w:marRight w:val="0"/>
      <w:marTop w:val="0"/>
      <w:marBottom w:val="0"/>
      <w:divBdr>
        <w:top w:val="none" w:sz="0" w:space="0" w:color="auto"/>
        <w:left w:val="none" w:sz="0" w:space="0" w:color="auto"/>
        <w:bottom w:val="none" w:sz="0" w:space="0" w:color="auto"/>
        <w:right w:val="none" w:sz="0" w:space="0" w:color="auto"/>
      </w:divBdr>
      <w:divsChild>
        <w:div w:id="82262523">
          <w:marLeft w:val="0"/>
          <w:marRight w:val="0"/>
          <w:marTop w:val="105"/>
          <w:marBottom w:val="0"/>
          <w:divBdr>
            <w:top w:val="none" w:sz="0" w:space="0" w:color="auto"/>
            <w:left w:val="none" w:sz="0" w:space="0" w:color="auto"/>
            <w:bottom w:val="none" w:sz="0" w:space="0" w:color="auto"/>
            <w:right w:val="none" w:sz="0" w:space="0" w:color="auto"/>
          </w:divBdr>
        </w:div>
        <w:div w:id="871260430">
          <w:marLeft w:val="0"/>
          <w:marRight w:val="0"/>
          <w:marTop w:val="105"/>
          <w:marBottom w:val="0"/>
          <w:divBdr>
            <w:top w:val="none" w:sz="0" w:space="0" w:color="auto"/>
            <w:left w:val="none" w:sz="0" w:space="0" w:color="auto"/>
            <w:bottom w:val="none" w:sz="0" w:space="0" w:color="auto"/>
            <w:right w:val="none" w:sz="0" w:space="0" w:color="auto"/>
          </w:divBdr>
        </w:div>
        <w:div w:id="1306853502">
          <w:marLeft w:val="0"/>
          <w:marRight w:val="0"/>
          <w:marTop w:val="105"/>
          <w:marBottom w:val="0"/>
          <w:divBdr>
            <w:top w:val="none" w:sz="0" w:space="0" w:color="auto"/>
            <w:left w:val="none" w:sz="0" w:space="0" w:color="auto"/>
            <w:bottom w:val="none" w:sz="0" w:space="0" w:color="auto"/>
            <w:right w:val="none" w:sz="0" w:space="0" w:color="auto"/>
          </w:divBdr>
        </w:div>
        <w:div w:id="1769883099">
          <w:marLeft w:val="0"/>
          <w:marRight w:val="0"/>
          <w:marTop w:val="0"/>
          <w:marBottom w:val="0"/>
          <w:divBdr>
            <w:top w:val="none" w:sz="0" w:space="0" w:color="auto"/>
            <w:left w:val="none" w:sz="0" w:space="0" w:color="auto"/>
            <w:bottom w:val="none" w:sz="0" w:space="0" w:color="auto"/>
            <w:right w:val="none" w:sz="0" w:space="0" w:color="auto"/>
          </w:divBdr>
        </w:div>
        <w:div w:id="1829056567">
          <w:marLeft w:val="0"/>
          <w:marRight w:val="0"/>
          <w:marTop w:val="0"/>
          <w:marBottom w:val="0"/>
          <w:divBdr>
            <w:top w:val="none" w:sz="0" w:space="0" w:color="auto"/>
            <w:left w:val="none" w:sz="0" w:space="0" w:color="auto"/>
            <w:bottom w:val="none" w:sz="0" w:space="0" w:color="auto"/>
            <w:right w:val="none" w:sz="0" w:space="0" w:color="auto"/>
          </w:divBdr>
        </w:div>
      </w:divsChild>
    </w:div>
    <w:div w:id="1884100432">
      <w:bodyDiv w:val="1"/>
      <w:marLeft w:val="0"/>
      <w:marRight w:val="0"/>
      <w:marTop w:val="0"/>
      <w:marBottom w:val="0"/>
      <w:divBdr>
        <w:top w:val="none" w:sz="0" w:space="0" w:color="auto"/>
        <w:left w:val="none" w:sz="0" w:space="0" w:color="auto"/>
        <w:bottom w:val="none" w:sz="0" w:space="0" w:color="auto"/>
        <w:right w:val="none" w:sz="0" w:space="0" w:color="auto"/>
      </w:divBdr>
      <w:divsChild>
        <w:div w:id="1729378718">
          <w:marLeft w:val="0"/>
          <w:marRight w:val="0"/>
          <w:marTop w:val="0"/>
          <w:marBottom w:val="0"/>
          <w:divBdr>
            <w:top w:val="none" w:sz="0" w:space="0" w:color="auto"/>
            <w:left w:val="none" w:sz="0" w:space="0" w:color="auto"/>
            <w:bottom w:val="none" w:sz="0" w:space="0" w:color="auto"/>
            <w:right w:val="none" w:sz="0" w:space="0" w:color="auto"/>
          </w:divBdr>
        </w:div>
      </w:divsChild>
    </w:div>
    <w:div w:id="1892424584">
      <w:bodyDiv w:val="1"/>
      <w:marLeft w:val="0"/>
      <w:marRight w:val="0"/>
      <w:marTop w:val="0"/>
      <w:marBottom w:val="0"/>
      <w:divBdr>
        <w:top w:val="none" w:sz="0" w:space="0" w:color="auto"/>
        <w:left w:val="none" w:sz="0" w:space="0" w:color="auto"/>
        <w:bottom w:val="none" w:sz="0" w:space="0" w:color="auto"/>
        <w:right w:val="none" w:sz="0" w:space="0" w:color="auto"/>
      </w:divBdr>
      <w:divsChild>
        <w:div w:id="530412648">
          <w:marLeft w:val="0"/>
          <w:marRight w:val="0"/>
          <w:marTop w:val="0"/>
          <w:marBottom w:val="0"/>
          <w:divBdr>
            <w:top w:val="none" w:sz="0" w:space="0" w:color="auto"/>
            <w:left w:val="none" w:sz="0" w:space="0" w:color="auto"/>
            <w:bottom w:val="none" w:sz="0" w:space="0" w:color="auto"/>
            <w:right w:val="none" w:sz="0" w:space="0" w:color="auto"/>
          </w:divBdr>
        </w:div>
      </w:divsChild>
    </w:div>
    <w:div w:id="1908420366">
      <w:bodyDiv w:val="1"/>
      <w:marLeft w:val="0"/>
      <w:marRight w:val="0"/>
      <w:marTop w:val="0"/>
      <w:marBottom w:val="0"/>
      <w:divBdr>
        <w:top w:val="none" w:sz="0" w:space="0" w:color="auto"/>
        <w:left w:val="none" w:sz="0" w:space="0" w:color="auto"/>
        <w:bottom w:val="none" w:sz="0" w:space="0" w:color="auto"/>
        <w:right w:val="none" w:sz="0" w:space="0" w:color="auto"/>
      </w:divBdr>
      <w:divsChild>
        <w:div w:id="207379892">
          <w:marLeft w:val="0"/>
          <w:marRight w:val="0"/>
          <w:marTop w:val="105"/>
          <w:marBottom w:val="0"/>
          <w:divBdr>
            <w:top w:val="none" w:sz="0" w:space="0" w:color="auto"/>
            <w:left w:val="none" w:sz="0" w:space="0" w:color="auto"/>
            <w:bottom w:val="none" w:sz="0" w:space="0" w:color="auto"/>
            <w:right w:val="none" w:sz="0" w:space="0" w:color="auto"/>
          </w:divBdr>
        </w:div>
        <w:div w:id="903831655">
          <w:marLeft w:val="0"/>
          <w:marRight w:val="0"/>
          <w:marTop w:val="105"/>
          <w:marBottom w:val="0"/>
          <w:divBdr>
            <w:top w:val="none" w:sz="0" w:space="0" w:color="auto"/>
            <w:left w:val="none" w:sz="0" w:space="0" w:color="auto"/>
            <w:bottom w:val="none" w:sz="0" w:space="0" w:color="auto"/>
            <w:right w:val="none" w:sz="0" w:space="0" w:color="auto"/>
          </w:divBdr>
        </w:div>
        <w:div w:id="1616713040">
          <w:marLeft w:val="0"/>
          <w:marRight w:val="0"/>
          <w:marTop w:val="105"/>
          <w:marBottom w:val="0"/>
          <w:divBdr>
            <w:top w:val="none" w:sz="0" w:space="0" w:color="auto"/>
            <w:left w:val="none" w:sz="0" w:space="0" w:color="auto"/>
            <w:bottom w:val="none" w:sz="0" w:space="0" w:color="auto"/>
            <w:right w:val="none" w:sz="0" w:space="0" w:color="auto"/>
          </w:divBdr>
        </w:div>
        <w:div w:id="2035107580">
          <w:marLeft w:val="0"/>
          <w:marRight w:val="0"/>
          <w:marTop w:val="105"/>
          <w:marBottom w:val="0"/>
          <w:divBdr>
            <w:top w:val="none" w:sz="0" w:space="0" w:color="auto"/>
            <w:left w:val="none" w:sz="0" w:space="0" w:color="auto"/>
            <w:bottom w:val="none" w:sz="0" w:space="0" w:color="auto"/>
            <w:right w:val="none" w:sz="0" w:space="0" w:color="auto"/>
          </w:divBdr>
        </w:div>
        <w:div w:id="2139446442">
          <w:marLeft w:val="0"/>
          <w:marRight w:val="0"/>
          <w:marTop w:val="105"/>
          <w:marBottom w:val="0"/>
          <w:divBdr>
            <w:top w:val="none" w:sz="0" w:space="0" w:color="auto"/>
            <w:left w:val="none" w:sz="0" w:space="0" w:color="auto"/>
            <w:bottom w:val="none" w:sz="0" w:space="0" w:color="auto"/>
            <w:right w:val="none" w:sz="0" w:space="0" w:color="auto"/>
          </w:divBdr>
        </w:div>
      </w:divsChild>
    </w:div>
    <w:div w:id="1921137987">
      <w:bodyDiv w:val="1"/>
      <w:marLeft w:val="0"/>
      <w:marRight w:val="0"/>
      <w:marTop w:val="0"/>
      <w:marBottom w:val="0"/>
      <w:divBdr>
        <w:top w:val="none" w:sz="0" w:space="0" w:color="auto"/>
        <w:left w:val="none" w:sz="0" w:space="0" w:color="auto"/>
        <w:bottom w:val="none" w:sz="0" w:space="0" w:color="auto"/>
        <w:right w:val="none" w:sz="0" w:space="0" w:color="auto"/>
      </w:divBdr>
      <w:divsChild>
        <w:div w:id="634913892">
          <w:marLeft w:val="0"/>
          <w:marRight w:val="0"/>
          <w:marTop w:val="0"/>
          <w:marBottom w:val="0"/>
          <w:divBdr>
            <w:top w:val="none" w:sz="0" w:space="0" w:color="auto"/>
            <w:left w:val="none" w:sz="0" w:space="0" w:color="auto"/>
            <w:bottom w:val="none" w:sz="0" w:space="0" w:color="auto"/>
            <w:right w:val="none" w:sz="0" w:space="0" w:color="auto"/>
          </w:divBdr>
          <w:divsChild>
            <w:div w:id="19320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5594">
      <w:bodyDiv w:val="1"/>
      <w:marLeft w:val="0"/>
      <w:marRight w:val="0"/>
      <w:marTop w:val="0"/>
      <w:marBottom w:val="0"/>
      <w:divBdr>
        <w:top w:val="none" w:sz="0" w:space="0" w:color="auto"/>
        <w:left w:val="none" w:sz="0" w:space="0" w:color="auto"/>
        <w:bottom w:val="none" w:sz="0" w:space="0" w:color="auto"/>
        <w:right w:val="none" w:sz="0" w:space="0" w:color="auto"/>
      </w:divBdr>
      <w:divsChild>
        <w:div w:id="146022454">
          <w:marLeft w:val="0"/>
          <w:marRight w:val="0"/>
          <w:marTop w:val="105"/>
          <w:marBottom w:val="0"/>
          <w:divBdr>
            <w:top w:val="none" w:sz="0" w:space="0" w:color="auto"/>
            <w:left w:val="none" w:sz="0" w:space="0" w:color="auto"/>
            <w:bottom w:val="none" w:sz="0" w:space="0" w:color="auto"/>
            <w:right w:val="none" w:sz="0" w:space="0" w:color="auto"/>
          </w:divBdr>
        </w:div>
        <w:div w:id="1029185404">
          <w:marLeft w:val="0"/>
          <w:marRight w:val="0"/>
          <w:marTop w:val="105"/>
          <w:marBottom w:val="0"/>
          <w:divBdr>
            <w:top w:val="none" w:sz="0" w:space="0" w:color="auto"/>
            <w:left w:val="none" w:sz="0" w:space="0" w:color="auto"/>
            <w:bottom w:val="none" w:sz="0" w:space="0" w:color="auto"/>
            <w:right w:val="none" w:sz="0" w:space="0" w:color="auto"/>
          </w:divBdr>
        </w:div>
        <w:div w:id="1738700488">
          <w:marLeft w:val="0"/>
          <w:marRight w:val="0"/>
          <w:marTop w:val="105"/>
          <w:marBottom w:val="0"/>
          <w:divBdr>
            <w:top w:val="none" w:sz="0" w:space="0" w:color="auto"/>
            <w:left w:val="none" w:sz="0" w:space="0" w:color="auto"/>
            <w:bottom w:val="none" w:sz="0" w:space="0" w:color="auto"/>
            <w:right w:val="none" w:sz="0" w:space="0" w:color="auto"/>
          </w:divBdr>
        </w:div>
      </w:divsChild>
    </w:div>
    <w:div w:id="1932202467">
      <w:bodyDiv w:val="1"/>
      <w:marLeft w:val="0"/>
      <w:marRight w:val="0"/>
      <w:marTop w:val="0"/>
      <w:marBottom w:val="0"/>
      <w:divBdr>
        <w:top w:val="none" w:sz="0" w:space="0" w:color="auto"/>
        <w:left w:val="none" w:sz="0" w:space="0" w:color="auto"/>
        <w:bottom w:val="none" w:sz="0" w:space="0" w:color="auto"/>
        <w:right w:val="none" w:sz="0" w:space="0" w:color="auto"/>
      </w:divBdr>
      <w:divsChild>
        <w:div w:id="1340354246">
          <w:marLeft w:val="0"/>
          <w:marRight w:val="0"/>
          <w:marTop w:val="0"/>
          <w:marBottom w:val="0"/>
          <w:divBdr>
            <w:top w:val="none" w:sz="0" w:space="0" w:color="auto"/>
            <w:left w:val="none" w:sz="0" w:space="0" w:color="auto"/>
            <w:bottom w:val="none" w:sz="0" w:space="0" w:color="auto"/>
            <w:right w:val="none" w:sz="0" w:space="0" w:color="auto"/>
          </w:divBdr>
        </w:div>
      </w:divsChild>
    </w:div>
    <w:div w:id="1933051915">
      <w:bodyDiv w:val="1"/>
      <w:marLeft w:val="0"/>
      <w:marRight w:val="0"/>
      <w:marTop w:val="0"/>
      <w:marBottom w:val="0"/>
      <w:divBdr>
        <w:top w:val="none" w:sz="0" w:space="0" w:color="auto"/>
        <w:left w:val="none" w:sz="0" w:space="0" w:color="auto"/>
        <w:bottom w:val="none" w:sz="0" w:space="0" w:color="auto"/>
        <w:right w:val="none" w:sz="0" w:space="0" w:color="auto"/>
      </w:divBdr>
    </w:div>
    <w:div w:id="1934362704">
      <w:bodyDiv w:val="1"/>
      <w:marLeft w:val="0"/>
      <w:marRight w:val="0"/>
      <w:marTop w:val="0"/>
      <w:marBottom w:val="0"/>
      <w:divBdr>
        <w:top w:val="none" w:sz="0" w:space="0" w:color="auto"/>
        <w:left w:val="none" w:sz="0" w:space="0" w:color="auto"/>
        <w:bottom w:val="none" w:sz="0" w:space="0" w:color="auto"/>
        <w:right w:val="none" w:sz="0" w:space="0" w:color="auto"/>
      </w:divBdr>
      <w:divsChild>
        <w:div w:id="1044405821">
          <w:marLeft w:val="0"/>
          <w:marRight w:val="0"/>
          <w:marTop w:val="0"/>
          <w:marBottom w:val="0"/>
          <w:divBdr>
            <w:top w:val="none" w:sz="0" w:space="0" w:color="auto"/>
            <w:left w:val="none" w:sz="0" w:space="0" w:color="auto"/>
            <w:bottom w:val="none" w:sz="0" w:space="0" w:color="auto"/>
            <w:right w:val="none" w:sz="0" w:space="0" w:color="auto"/>
          </w:divBdr>
          <w:divsChild>
            <w:div w:id="357975307">
              <w:marLeft w:val="0"/>
              <w:marRight w:val="0"/>
              <w:marTop w:val="0"/>
              <w:marBottom w:val="0"/>
              <w:divBdr>
                <w:top w:val="none" w:sz="0" w:space="0" w:color="auto"/>
                <w:left w:val="none" w:sz="0" w:space="0" w:color="auto"/>
                <w:bottom w:val="none" w:sz="0" w:space="0" w:color="auto"/>
                <w:right w:val="none" w:sz="0" w:space="0" w:color="auto"/>
              </w:divBdr>
            </w:div>
            <w:div w:id="729690370">
              <w:marLeft w:val="0"/>
              <w:marRight w:val="0"/>
              <w:marTop w:val="0"/>
              <w:marBottom w:val="0"/>
              <w:divBdr>
                <w:top w:val="none" w:sz="0" w:space="0" w:color="auto"/>
                <w:left w:val="none" w:sz="0" w:space="0" w:color="auto"/>
                <w:bottom w:val="none" w:sz="0" w:space="0" w:color="auto"/>
                <w:right w:val="none" w:sz="0" w:space="0" w:color="auto"/>
              </w:divBdr>
            </w:div>
            <w:div w:id="1163935841">
              <w:marLeft w:val="0"/>
              <w:marRight w:val="0"/>
              <w:marTop w:val="0"/>
              <w:marBottom w:val="0"/>
              <w:divBdr>
                <w:top w:val="none" w:sz="0" w:space="0" w:color="auto"/>
                <w:left w:val="none" w:sz="0" w:space="0" w:color="auto"/>
                <w:bottom w:val="none" w:sz="0" w:space="0" w:color="auto"/>
                <w:right w:val="none" w:sz="0" w:space="0" w:color="auto"/>
              </w:divBdr>
            </w:div>
            <w:div w:id="1334378696">
              <w:marLeft w:val="0"/>
              <w:marRight w:val="0"/>
              <w:marTop w:val="0"/>
              <w:marBottom w:val="0"/>
              <w:divBdr>
                <w:top w:val="none" w:sz="0" w:space="0" w:color="auto"/>
                <w:left w:val="none" w:sz="0" w:space="0" w:color="auto"/>
                <w:bottom w:val="none" w:sz="0" w:space="0" w:color="auto"/>
                <w:right w:val="none" w:sz="0" w:space="0" w:color="auto"/>
              </w:divBdr>
            </w:div>
            <w:div w:id="15962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8332">
      <w:bodyDiv w:val="1"/>
      <w:marLeft w:val="0"/>
      <w:marRight w:val="0"/>
      <w:marTop w:val="0"/>
      <w:marBottom w:val="0"/>
      <w:divBdr>
        <w:top w:val="none" w:sz="0" w:space="0" w:color="auto"/>
        <w:left w:val="none" w:sz="0" w:space="0" w:color="auto"/>
        <w:bottom w:val="none" w:sz="0" w:space="0" w:color="auto"/>
        <w:right w:val="none" w:sz="0" w:space="0" w:color="auto"/>
      </w:divBdr>
      <w:divsChild>
        <w:div w:id="1299412133">
          <w:marLeft w:val="0"/>
          <w:marRight w:val="0"/>
          <w:marTop w:val="0"/>
          <w:marBottom w:val="0"/>
          <w:divBdr>
            <w:top w:val="none" w:sz="0" w:space="0" w:color="auto"/>
            <w:left w:val="none" w:sz="0" w:space="0" w:color="auto"/>
            <w:bottom w:val="none" w:sz="0" w:space="0" w:color="auto"/>
            <w:right w:val="none" w:sz="0" w:space="0" w:color="auto"/>
          </w:divBdr>
        </w:div>
      </w:divsChild>
    </w:div>
    <w:div w:id="2008822318">
      <w:bodyDiv w:val="1"/>
      <w:marLeft w:val="0"/>
      <w:marRight w:val="0"/>
      <w:marTop w:val="0"/>
      <w:marBottom w:val="0"/>
      <w:divBdr>
        <w:top w:val="none" w:sz="0" w:space="0" w:color="auto"/>
        <w:left w:val="none" w:sz="0" w:space="0" w:color="auto"/>
        <w:bottom w:val="none" w:sz="0" w:space="0" w:color="auto"/>
        <w:right w:val="none" w:sz="0" w:space="0" w:color="auto"/>
      </w:divBdr>
      <w:divsChild>
        <w:div w:id="1615821399">
          <w:marLeft w:val="0"/>
          <w:marRight w:val="0"/>
          <w:marTop w:val="0"/>
          <w:marBottom w:val="0"/>
          <w:divBdr>
            <w:top w:val="none" w:sz="0" w:space="0" w:color="auto"/>
            <w:left w:val="none" w:sz="0" w:space="0" w:color="auto"/>
            <w:bottom w:val="none" w:sz="0" w:space="0" w:color="auto"/>
            <w:right w:val="none" w:sz="0" w:space="0" w:color="auto"/>
          </w:divBdr>
          <w:divsChild>
            <w:div w:id="795291687">
              <w:marLeft w:val="0"/>
              <w:marRight w:val="0"/>
              <w:marTop w:val="0"/>
              <w:marBottom w:val="0"/>
              <w:divBdr>
                <w:top w:val="none" w:sz="0" w:space="0" w:color="auto"/>
                <w:left w:val="none" w:sz="0" w:space="0" w:color="auto"/>
                <w:bottom w:val="none" w:sz="0" w:space="0" w:color="auto"/>
                <w:right w:val="none" w:sz="0" w:space="0" w:color="auto"/>
              </w:divBdr>
            </w:div>
            <w:div w:id="1009334514">
              <w:marLeft w:val="0"/>
              <w:marRight w:val="0"/>
              <w:marTop w:val="0"/>
              <w:marBottom w:val="0"/>
              <w:divBdr>
                <w:top w:val="none" w:sz="0" w:space="0" w:color="auto"/>
                <w:left w:val="none" w:sz="0" w:space="0" w:color="auto"/>
                <w:bottom w:val="none" w:sz="0" w:space="0" w:color="auto"/>
                <w:right w:val="none" w:sz="0" w:space="0" w:color="auto"/>
              </w:divBdr>
            </w:div>
            <w:div w:id="18506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6553">
      <w:bodyDiv w:val="1"/>
      <w:marLeft w:val="0"/>
      <w:marRight w:val="0"/>
      <w:marTop w:val="0"/>
      <w:marBottom w:val="0"/>
      <w:divBdr>
        <w:top w:val="none" w:sz="0" w:space="0" w:color="auto"/>
        <w:left w:val="none" w:sz="0" w:space="0" w:color="auto"/>
        <w:bottom w:val="none" w:sz="0" w:space="0" w:color="auto"/>
        <w:right w:val="none" w:sz="0" w:space="0" w:color="auto"/>
      </w:divBdr>
      <w:divsChild>
        <w:div w:id="912392285">
          <w:marLeft w:val="0"/>
          <w:marRight w:val="0"/>
          <w:marTop w:val="105"/>
          <w:marBottom w:val="0"/>
          <w:divBdr>
            <w:top w:val="none" w:sz="0" w:space="0" w:color="auto"/>
            <w:left w:val="none" w:sz="0" w:space="0" w:color="auto"/>
            <w:bottom w:val="none" w:sz="0" w:space="0" w:color="auto"/>
            <w:right w:val="none" w:sz="0" w:space="0" w:color="auto"/>
          </w:divBdr>
        </w:div>
        <w:div w:id="952900835">
          <w:marLeft w:val="0"/>
          <w:marRight w:val="0"/>
          <w:marTop w:val="105"/>
          <w:marBottom w:val="0"/>
          <w:divBdr>
            <w:top w:val="none" w:sz="0" w:space="0" w:color="auto"/>
            <w:left w:val="none" w:sz="0" w:space="0" w:color="auto"/>
            <w:bottom w:val="none" w:sz="0" w:space="0" w:color="auto"/>
            <w:right w:val="none" w:sz="0" w:space="0" w:color="auto"/>
          </w:divBdr>
        </w:div>
        <w:div w:id="1477144695">
          <w:marLeft w:val="0"/>
          <w:marRight w:val="0"/>
          <w:marTop w:val="105"/>
          <w:marBottom w:val="0"/>
          <w:divBdr>
            <w:top w:val="none" w:sz="0" w:space="0" w:color="auto"/>
            <w:left w:val="none" w:sz="0" w:space="0" w:color="auto"/>
            <w:bottom w:val="none" w:sz="0" w:space="0" w:color="auto"/>
            <w:right w:val="none" w:sz="0" w:space="0" w:color="auto"/>
          </w:divBdr>
        </w:div>
      </w:divsChild>
    </w:div>
    <w:div w:id="2056812847">
      <w:bodyDiv w:val="1"/>
      <w:marLeft w:val="0"/>
      <w:marRight w:val="0"/>
      <w:marTop w:val="0"/>
      <w:marBottom w:val="0"/>
      <w:divBdr>
        <w:top w:val="none" w:sz="0" w:space="0" w:color="auto"/>
        <w:left w:val="none" w:sz="0" w:space="0" w:color="auto"/>
        <w:bottom w:val="none" w:sz="0" w:space="0" w:color="auto"/>
        <w:right w:val="none" w:sz="0" w:space="0" w:color="auto"/>
      </w:divBdr>
    </w:div>
    <w:div w:id="20915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091959-430E-4E8A-9A08-0A6D809B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17223</Words>
  <Characters>94451</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STC-2014-06490-REL</vt:lpstr>
    </vt:vector>
  </TitlesOfParts>
  <Company>Senado Federal</Company>
  <LinksUpToDate>false</LinksUpToDate>
  <CharactersWithSpaces>111452</CharactersWithSpaces>
  <SharedDoc>false</SharedDoc>
  <HLinks>
    <vt:vector size="102" baseType="variant">
      <vt:variant>
        <vt:i4>1441842</vt:i4>
      </vt:variant>
      <vt:variant>
        <vt:i4>98</vt:i4>
      </vt:variant>
      <vt:variant>
        <vt:i4>0</vt:i4>
      </vt:variant>
      <vt:variant>
        <vt:i4>5</vt:i4>
      </vt:variant>
      <vt:variant>
        <vt:lpwstr/>
      </vt:variant>
      <vt:variant>
        <vt:lpwstr>_Toc442974389</vt:lpwstr>
      </vt:variant>
      <vt:variant>
        <vt:i4>1441842</vt:i4>
      </vt:variant>
      <vt:variant>
        <vt:i4>92</vt:i4>
      </vt:variant>
      <vt:variant>
        <vt:i4>0</vt:i4>
      </vt:variant>
      <vt:variant>
        <vt:i4>5</vt:i4>
      </vt:variant>
      <vt:variant>
        <vt:lpwstr/>
      </vt:variant>
      <vt:variant>
        <vt:lpwstr>_Toc442974388</vt:lpwstr>
      </vt:variant>
      <vt:variant>
        <vt:i4>1441842</vt:i4>
      </vt:variant>
      <vt:variant>
        <vt:i4>86</vt:i4>
      </vt:variant>
      <vt:variant>
        <vt:i4>0</vt:i4>
      </vt:variant>
      <vt:variant>
        <vt:i4>5</vt:i4>
      </vt:variant>
      <vt:variant>
        <vt:lpwstr/>
      </vt:variant>
      <vt:variant>
        <vt:lpwstr>_Toc442974387</vt:lpwstr>
      </vt:variant>
      <vt:variant>
        <vt:i4>1441842</vt:i4>
      </vt:variant>
      <vt:variant>
        <vt:i4>80</vt:i4>
      </vt:variant>
      <vt:variant>
        <vt:i4>0</vt:i4>
      </vt:variant>
      <vt:variant>
        <vt:i4>5</vt:i4>
      </vt:variant>
      <vt:variant>
        <vt:lpwstr/>
      </vt:variant>
      <vt:variant>
        <vt:lpwstr>_Toc442974386</vt:lpwstr>
      </vt:variant>
      <vt:variant>
        <vt:i4>1441842</vt:i4>
      </vt:variant>
      <vt:variant>
        <vt:i4>74</vt:i4>
      </vt:variant>
      <vt:variant>
        <vt:i4>0</vt:i4>
      </vt:variant>
      <vt:variant>
        <vt:i4>5</vt:i4>
      </vt:variant>
      <vt:variant>
        <vt:lpwstr/>
      </vt:variant>
      <vt:variant>
        <vt:lpwstr>_Toc442974385</vt:lpwstr>
      </vt:variant>
      <vt:variant>
        <vt:i4>1441842</vt:i4>
      </vt:variant>
      <vt:variant>
        <vt:i4>68</vt:i4>
      </vt:variant>
      <vt:variant>
        <vt:i4>0</vt:i4>
      </vt:variant>
      <vt:variant>
        <vt:i4>5</vt:i4>
      </vt:variant>
      <vt:variant>
        <vt:lpwstr/>
      </vt:variant>
      <vt:variant>
        <vt:lpwstr>_Toc442974384</vt:lpwstr>
      </vt:variant>
      <vt:variant>
        <vt:i4>1441842</vt:i4>
      </vt:variant>
      <vt:variant>
        <vt:i4>62</vt:i4>
      </vt:variant>
      <vt:variant>
        <vt:i4>0</vt:i4>
      </vt:variant>
      <vt:variant>
        <vt:i4>5</vt:i4>
      </vt:variant>
      <vt:variant>
        <vt:lpwstr/>
      </vt:variant>
      <vt:variant>
        <vt:lpwstr>_Toc442974383</vt:lpwstr>
      </vt:variant>
      <vt:variant>
        <vt:i4>1441842</vt:i4>
      </vt:variant>
      <vt:variant>
        <vt:i4>56</vt:i4>
      </vt:variant>
      <vt:variant>
        <vt:i4>0</vt:i4>
      </vt:variant>
      <vt:variant>
        <vt:i4>5</vt:i4>
      </vt:variant>
      <vt:variant>
        <vt:lpwstr/>
      </vt:variant>
      <vt:variant>
        <vt:lpwstr>_Toc442974382</vt:lpwstr>
      </vt:variant>
      <vt:variant>
        <vt:i4>1441842</vt:i4>
      </vt:variant>
      <vt:variant>
        <vt:i4>50</vt:i4>
      </vt:variant>
      <vt:variant>
        <vt:i4>0</vt:i4>
      </vt:variant>
      <vt:variant>
        <vt:i4>5</vt:i4>
      </vt:variant>
      <vt:variant>
        <vt:lpwstr/>
      </vt:variant>
      <vt:variant>
        <vt:lpwstr>_Toc442974381</vt:lpwstr>
      </vt:variant>
      <vt:variant>
        <vt:i4>1441842</vt:i4>
      </vt:variant>
      <vt:variant>
        <vt:i4>44</vt:i4>
      </vt:variant>
      <vt:variant>
        <vt:i4>0</vt:i4>
      </vt:variant>
      <vt:variant>
        <vt:i4>5</vt:i4>
      </vt:variant>
      <vt:variant>
        <vt:lpwstr/>
      </vt:variant>
      <vt:variant>
        <vt:lpwstr>_Toc442974380</vt:lpwstr>
      </vt:variant>
      <vt:variant>
        <vt:i4>1638450</vt:i4>
      </vt:variant>
      <vt:variant>
        <vt:i4>38</vt:i4>
      </vt:variant>
      <vt:variant>
        <vt:i4>0</vt:i4>
      </vt:variant>
      <vt:variant>
        <vt:i4>5</vt:i4>
      </vt:variant>
      <vt:variant>
        <vt:lpwstr/>
      </vt:variant>
      <vt:variant>
        <vt:lpwstr>_Toc442974379</vt:lpwstr>
      </vt:variant>
      <vt:variant>
        <vt:i4>1638450</vt:i4>
      </vt:variant>
      <vt:variant>
        <vt:i4>32</vt:i4>
      </vt:variant>
      <vt:variant>
        <vt:i4>0</vt:i4>
      </vt:variant>
      <vt:variant>
        <vt:i4>5</vt:i4>
      </vt:variant>
      <vt:variant>
        <vt:lpwstr/>
      </vt:variant>
      <vt:variant>
        <vt:lpwstr>_Toc442974378</vt:lpwstr>
      </vt:variant>
      <vt:variant>
        <vt:i4>1638450</vt:i4>
      </vt:variant>
      <vt:variant>
        <vt:i4>26</vt:i4>
      </vt:variant>
      <vt:variant>
        <vt:i4>0</vt:i4>
      </vt:variant>
      <vt:variant>
        <vt:i4>5</vt:i4>
      </vt:variant>
      <vt:variant>
        <vt:lpwstr/>
      </vt:variant>
      <vt:variant>
        <vt:lpwstr>_Toc442974377</vt:lpwstr>
      </vt:variant>
      <vt:variant>
        <vt:i4>1638450</vt:i4>
      </vt:variant>
      <vt:variant>
        <vt:i4>20</vt:i4>
      </vt:variant>
      <vt:variant>
        <vt:i4>0</vt:i4>
      </vt:variant>
      <vt:variant>
        <vt:i4>5</vt:i4>
      </vt:variant>
      <vt:variant>
        <vt:lpwstr/>
      </vt:variant>
      <vt:variant>
        <vt:lpwstr>_Toc442974376</vt:lpwstr>
      </vt:variant>
      <vt:variant>
        <vt:i4>1638450</vt:i4>
      </vt:variant>
      <vt:variant>
        <vt:i4>14</vt:i4>
      </vt:variant>
      <vt:variant>
        <vt:i4>0</vt:i4>
      </vt:variant>
      <vt:variant>
        <vt:i4>5</vt:i4>
      </vt:variant>
      <vt:variant>
        <vt:lpwstr/>
      </vt:variant>
      <vt:variant>
        <vt:lpwstr>_Toc442974375</vt:lpwstr>
      </vt:variant>
      <vt:variant>
        <vt:i4>1638450</vt:i4>
      </vt:variant>
      <vt:variant>
        <vt:i4>8</vt:i4>
      </vt:variant>
      <vt:variant>
        <vt:i4>0</vt:i4>
      </vt:variant>
      <vt:variant>
        <vt:i4>5</vt:i4>
      </vt:variant>
      <vt:variant>
        <vt:lpwstr/>
      </vt:variant>
      <vt:variant>
        <vt:lpwstr>_Toc442974374</vt:lpwstr>
      </vt:variant>
      <vt:variant>
        <vt:i4>1638450</vt:i4>
      </vt:variant>
      <vt:variant>
        <vt:i4>2</vt:i4>
      </vt:variant>
      <vt:variant>
        <vt:i4>0</vt:i4>
      </vt:variant>
      <vt:variant>
        <vt:i4>5</vt:i4>
      </vt:variant>
      <vt:variant>
        <vt:lpwstr/>
      </vt:variant>
      <vt:variant>
        <vt:lpwstr>_Toc442974373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STC-2014-06490-REL</dc:title>
  <dc:subject/>
  <dc:creator>C. Alexandre A. Rocha</dc:creator>
  <cp:keywords/>
  <cp:lastModifiedBy>Anderson Angelo de Oliveira</cp:lastModifiedBy>
  <cp:revision>2</cp:revision>
  <cp:lastPrinted>2016-02-17T10:29:00Z</cp:lastPrinted>
  <dcterms:created xsi:type="dcterms:W3CDTF">2016-02-22T14:09:00Z</dcterms:created>
  <dcterms:modified xsi:type="dcterms:W3CDTF">2016-02-22T14:09:00Z</dcterms:modified>
</cp:coreProperties>
</file>