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18967" w14:textId="77777777" w:rsidR="00DA60AF" w:rsidRPr="00102B7D" w:rsidRDefault="00574EA8" w:rsidP="00DA60AF">
      <w:pPr>
        <w:pStyle w:val="01-TtuloEstudoNota-CLG"/>
      </w:pPr>
      <w:r w:rsidRPr="00102B7D">
        <w:t>PLANO DE TRABALHO</w:t>
      </w:r>
    </w:p>
    <w:p w14:paraId="119CD47E" w14:textId="03F26A80" w:rsidR="00DA60AF" w:rsidRPr="00102B7D" w:rsidRDefault="00574EA8" w:rsidP="00DA60AF">
      <w:pPr>
        <w:pStyle w:val="02-EmentaEstudoNota-CLG"/>
      </w:pPr>
      <w:r w:rsidRPr="00102B7D">
        <w:t>Referente à STC nº 2023-</w:t>
      </w:r>
      <w:r w:rsidR="000F2C68" w:rsidRPr="00102B7D">
        <w:t>0</w:t>
      </w:r>
      <w:r w:rsidR="000F2C68">
        <w:t>9161</w:t>
      </w:r>
      <w:r w:rsidR="00DA60AF" w:rsidRPr="00102B7D">
        <w:t xml:space="preserve">, do Senador </w:t>
      </w:r>
      <w:r w:rsidRPr="00102B7D">
        <w:t>Carlos Viana</w:t>
      </w:r>
      <w:r w:rsidR="00DA60AF" w:rsidRPr="00102B7D">
        <w:t>,</w:t>
      </w:r>
      <w:r w:rsidR="00B1319F" w:rsidRPr="00102B7D">
        <w:t xml:space="preserve"> que solicita </w:t>
      </w:r>
      <w:r w:rsidRPr="00102B7D">
        <w:t>a elaboração de Plano de Trabalho para a Comissão de Ciência, Tecnologia, Inovação</w:t>
      </w:r>
      <w:r w:rsidR="000F2C68">
        <w:t xml:space="preserve"> e</w:t>
      </w:r>
      <w:r w:rsidRPr="00102B7D">
        <w:t xml:space="preserve"> Informática (CCT)</w:t>
      </w:r>
      <w:r w:rsidR="00DA60AF" w:rsidRPr="00102B7D">
        <w:t>.</w:t>
      </w:r>
    </w:p>
    <w:p w14:paraId="365B7775" w14:textId="64C811E8" w:rsidR="00C46F5E" w:rsidRPr="00102B7D" w:rsidRDefault="00C46F5E" w:rsidP="00C46F5E">
      <w:pPr>
        <w:pStyle w:val="04-PargrafodetextoEstudoNotas-CLG"/>
        <w:numPr>
          <w:ilvl w:val="0"/>
          <w:numId w:val="4"/>
        </w:numPr>
        <w:rPr>
          <w:b/>
        </w:rPr>
      </w:pPr>
      <w:r w:rsidRPr="00102B7D">
        <w:rPr>
          <w:b/>
        </w:rPr>
        <w:t>Da solicitação</w:t>
      </w:r>
    </w:p>
    <w:p w14:paraId="15D7C936" w14:textId="56E4A621" w:rsidR="00365B33" w:rsidRDefault="44199939" w:rsidP="00DA60AF">
      <w:pPr>
        <w:pStyle w:val="04-PargrafodetextoEstudoNotas-CLG"/>
      </w:pPr>
      <w:r w:rsidRPr="00102B7D">
        <w:t>Mediante a Solicitação de Trabalho à Consultoria (STC) nº 2023-0</w:t>
      </w:r>
      <w:r w:rsidR="000F2C68">
        <w:t>9161</w:t>
      </w:r>
      <w:r w:rsidRPr="00102B7D">
        <w:t xml:space="preserve">, o gabinete do Senador Carlos Viana requer a elaboração de </w:t>
      </w:r>
      <w:r w:rsidR="00A22ED8" w:rsidRPr="00102B7D">
        <w:t>p</w:t>
      </w:r>
      <w:r w:rsidRPr="00102B7D">
        <w:t xml:space="preserve">lano de </w:t>
      </w:r>
      <w:r w:rsidR="00A22ED8" w:rsidRPr="00102B7D">
        <w:t>t</w:t>
      </w:r>
      <w:r w:rsidRPr="00102B7D">
        <w:t>rabalho para a Comissão de Ciência, Tecnologia, Inovação</w:t>
      </w:r>
      <w:r w:rsidR="000F2C68">
        <w:t xml:space="preserve"> </w:t>
      </w:r>
      <w:r w:rsidRPr="00102B7D">
        <w:t xml:space="preserve">e Informática (CCT) para o </w:t>
      </w:r>
      <w:r w:rsidR="000F2C68">
        <w:t xml:space="preserve">segundo semestre </w:t>
      </w:r>
      <w:r w:rsidRPr="00102B7D">
        <w:t>de 2023.</w:t>
      </w:r>
    </w:p>
    <w:p w14:paraId="7182E06D" w14:textId="77777777" w:rsidR="00664FD5" w:rsidRDefault="00664FD5" w:rsidP="00664FD5">
      <w:pPr>
        <w:pStyle w:val="04-PargrafodetextoEstudoNotas-CLG"/>
      </w:pPr>
      <w:r>
        <w:t>Cabe inicialmente destacar que o</w:t>
      </w:r>
      <w:r w:rsidRPr="00664FD5">
        <w:t xml:space="preserve"> desenvolvimento de ciência e tecnologia é crucial para um país, pois impulsiona a inovação, o crescimento econômico e a melhoria da qualidade de vida. Além disso, contribui para a solução de problemas globais. Investir nessas áreas traz benefícios significativos em diversos aspectos, incluindo avanços em setores-chave, competitividade global, criação de empregos, avanços na saúde, infraestrutura e serviços públicos aprimorados, bem como soluções para desafios ambientais.</w:t>
      </w:r>
    </w:p>
    <w:p w14:paraId="3997227F" w14:textId="45CDB22D" w:rsidR="009069DC" w:rsidRPr="00102B7D" w:rsidRDefault="00A22ED8" w:rsidP="009069DC">
      <w:pPr>
        <w:pStyle w:val="04-PargrafodetextoEstudoNotas-CLG"/>
      </w:pPr>
      <w:r w:rsidRPr="00102B7D">
        <w:lastRenderedPageBreak/>
        <w:t>Importante registrar que as competências da CCT estão estabelecidas no art. 104-C do Regimento Interno do Senado Federal</w:t>
      </w:r>
      <w:r w:rsidR="009069DC" w:rsidRPr="00102B7D">
        <w:t xml:space="preserve"> (RISF</w:t>
      </w:r>
      <w:r w:rsidR="000F2C68">
        <w:t>, com alteração recente promovida pela Resolução nº 14, de 2023)</w:t>
      </w:r>
      <w:r w:rsidRPr="00102B7D">
        <w:t xml:space="preserve">, </w:t>
      </w:r>
      <w:proofErr w:type="spellStart"/>
      <w:r w:rsidRPr="00102B7D">
        <w:rPr>
          <w:i/>
        </w:rPr>
        <w:t>verbis</w:t>
      </w:r>
      <w:proofErr w:type="spellEnd"/>
      <w:r w:rsidRPr="00102B7D">
        <w:t>:</w:t>
      </w:r>
    </w:p>
    <w:p w14:paraId="3C29ECEA" w14:textId="4CB721DA" w:rsidR="009069DC" w:rsidRPr="00102B7D" w:rsidRDefault="009069DC" w:rsidP="009069DC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102B7D">
        <w:rPr>
          <w:b/>
          <w:sz w:val="24"/>
          <w:szCs w:val="24"/>
        </w:rPr>
        <w:t>Art.</w:t>
      </w:r>
      <w:r w:rsidRPr="00102B7D">
        <w:rPr>
          <w:sz w:val="24"/>
          <w:szCs w:val="24"/>
        </w:rPr>
        <w:t xml:space="preserve"> 104-C. À Comissão de Ciência, Tecnologia, Inovação e Informática compete opinar sobre proposições pertinentes aos seguintes temas:</w:t>
      </w:r>
    </w:p>
    <w:p w14:paraId="78733421" w14:textId="77777777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I - </w:t>
      </w:r>
      <w:proofErr w:type="gramStart"/>
      <w:r w:rsidRPr="000F2C68">
        <w:rPr>
          <w:sz w:val="24"/>
          <w:szCs w:val="24"/>
        </w:rPr>
        <w:t>desenvolvimento</w:t>
      </w:r>
      <w:proofErr w:type="gramEnd"/>
      <w:r w:rsidRPr="000F2C68">
        <w:rPr>
          <w:sz w:val="24"/>
          <w:szCs w:val="24"/>
        </w:rPr>
        <w:t xml:space="preserve"> científico, tecnológico e inovação tecnológica;</w:t>
      </w:r>
    </w:p>
    <w:p w14:paraId="05BBEECB" w14:textId="581B62FF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II - </w:t>
      </w:r>
      <w:proofErr w:type="gramStart"/>
      <w:r w:rsidRPr="000F2C68">
        <w:rPr>
          <w:sz w:val="24"/>
          <w:szCs w:val="24"/>
        </w:rPr>
        <w:t>política</w:t>
      </w:r>
      <w:proofErr w:type="gramEnd"/>
      <w:r w:rsidRPr="000F2C68">
        <w:rPr>
          <w:sz w:val="24"/>
          <w:szCs w:val="24"/>
        </w:rPr>
        <w:t xml:space="preserve"> nacional de ciência, tecnologia, inovação e informática; </w:t>
      </w:r>
    </w:p>
    <w:p w14:paraId="15C49C6B" w14:textId="77777777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>III - organização institucional do setor;</w:t>
      </w:r>
    </w:p>
    <w:p w14:paraId="32B170F7" w14:textId="77777777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IV - </w:t>
      </w:r>
      <w:proofErr w:type="gramStart"/>
      <w:r w:rsidRPr="000F2C68">
        <w:rPr>
          <w:sz w:val="24"/>
          <w:szCs w:val="24"/>
        </w:rPr>
        <w:t>acordos</w:t>
      </w:r>
      <w:proofErr w:type="gramEnd"/>
      <w:r w:rsidRPr="000F2C68">
        <w:rPr>
          <w:sz w:val="24"/>
          <w:szCs w:val="24"/>
        </w:rPr>
        <w:t xml:space="preserve"> de cooperação e inovação com outros países e organismos internacionais na área;</w:t>
      </w:r>
    </w:p>
    <w:p w14:paraId="5C478121" w14:textId="77777777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V - </w:t>
      </w:r>
      <w:proofErr w:type="gramStart"/>
      <w:r w:rsidRPr="000F2C68">
        <w:rPr>
          <w:sz w:val="24"/>
          <w:szCs w:val="24"/>
        </w:rPr>
        <w:t>propriedade</w:t>
      </w:r>
      <w:proofErr w:type="gramEnd"/>
      <w:r w:rsidRPr="000F2C68">
        <w:rPr>
          <w:sz w:val="24"/>
          <w:szCs w:val="24"/>
        </w:rPr>
        <w:t xml:space="preserve"> intelectual;</w:t>
      </w:r>
    </w:p>
    <w:p w14:paraId="3E31C12E" w14:textId="77777777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VI - </w:t>
      </w:r>
      <w:proofErr w:type="gramStart"/>
      <w:r w:rsidRPr="000F2C68">
        <w:rPr>
          <w:sz w:val="24"/>
          <w:szCs w:val="24"/>
        </w:rPr>
        <w:t>criações</w:t>
      </w:r>
      <w:proofErr w:type="gramEnd"/>
      <w:r w:rsidRPr="000F2C68">
        <w:rPr>
          <w:sz w:val="24"/>
          <w:szCs w:val="24"/>
        </w:rPr>
        <w:t xml:space="preserve"> científicas e tecnológicas, informática, atividades nucleares de qualquer natureza, transporte e utilização de materiais radioativos, apoio e estímulo à pesquisa e criação de tecnologia;</w:t>
      </w:r>
    </w:p>
    <w:p w14:paraId="1FA8F9A4" w14:textId="174CD4CF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VII - (revogado); </w:t>
      </w:r>
    </w:p>
    <w:p w14:paraId="307DDAC7" w14:textId="798CCD88" w:rsidR="000F2C68" w:rsidRPr="000F2C68" w:rsidRDefault="000F2C68" w:rsidP="000F2C68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0F2C68">
        <w:rPr>
          <w:sz w:val="24"/>
          <w:szCs w:val="24"/>
        </w:rPr>
        <w:t xml:space="preserve">VIII - regulamentação, controle e questões éticas referentes a pesquisa e desenvolvimento científico e tecnológico, inovação tecnológica e informática; </w:t>
      </w:r>
    </w:p>
    <w:p w14:paraId="0CECFAE6" w14:textId="3ADF201F" w:rsidR="009069DC" w:rsidRPr="00102B7D" w:rsidRDefault="009069DC" w:rsidP="009069DC">
      <w:pPr>
        <w:pStyle w:val="04-PargrafodetextoEstudoNotas-CLG"/>
        <w:spacing w:after="120" w:line="240" w:lineRule="auto"/>
        <w:ind w:left="1985" w:firstLine="567"/>
        <w:rPr>
          <w:sz w:val="24"/>
          <w:szCs w:val="24"/>
        </w:rPr>
      </w:pPr>
      <w:r w:rsidRPr="00102B7D">
        <w:rPr>
          <w:sz w:val="24"/>
          <w:szCs w:val="24"/>
        </w:rPr>
        <w:t xml:space="preserve">IX - </w:t>
      </w:r>
      <w:proofErr w:type="gramStart"/>
      <w:r w:rsidRPr="00102B7D">
        <w:rPr>
          <w:sz w:val="24"/>
          <w:szCs w:val="24"/>
        </w:rPr>
        <w:t>outros</w:t>
      </w:r>
      <w:proofErr w:type="gramEnd"/>
      <w:r w:rsidRPr="00102B7D">
        <w:rPr>
          <w:sz w:val="24"/>
          <w:szCs w:val="24"/>
        </w:rPr>
        <w:t xml:space="preserve"> assuntos correlatos.</w:t>
      </w:r>
    </w:p>
    <w:p w14:paraId="20D16A99" w14:textId="108273CD" w:rsidR="44199939" w:rsidRDefault="44199939" w:rsidP="00211BC8">
      <w:pPr>
        <w:pStyle w:val="04-PargrafodetextoEstudoNotas-CLG"/>
        <w:spacing w:before="480"/>
      </w:pPr>
      <w:r w:rsidRPr="00102B7D">
        <w:t>Nes</w:t>
      </w:r>
      <w:r w:rsidR="00A22ED8" w:rsidRPr="00102B7D">
        <w:t>se sentido, o presente p</w:t>
      </w:r>
      <w:r w:rsidRPr="00102B7D">
        <w:t xml:space="preserve">lano de </w:t>
      </w:r>
      <w:r w:rsidR="00A22ED8" w:rsidRPr="00102B7D">
        <w:t>t</w:t>
      </w:r>
      <w:r w:rsidRPr="00102B7D">
        <w:t>rabalho</w:t>
      </w:r>
      <w:r w:rsidR="00A22ED8" w:rsidRPr="00102B7D">
        <w:t xml:space="preserve"> buscará eleger os</w:t>
      </w:r>
      <w:r w:rsidR="004445AD" w:rsidRPr="00102B7D">
        <w:t xml:space="preserve"> temas de maior relevância </w:t>
      </w:r>
      <w:r w:rsidR="00A22ED8" w:rsidRPr="00102B7D">
        <w:t>afeitos às atribuições d</w:t>
      </w:r>
      <w:r w:rsidR="004445AD" w:rsidRPr="00102B7D">
        <w:t>a C</w:t>
      </w:r>
      <w:r w:rsidR="00043C3D" w:rsidRPr="00102B7D">
        <w:t xml:space="preserve">omissão </w:t>
      </w:r>
      <w:r w:rsidR="00B44701" w:rsidRPr="00102B7D">
        <w:t xml:space="preserve">e </w:t>
      </w:r>
      <w:r w:rsidR="004445AD" w:rsidRPr="00102B7D">
        <w:t xml:space="preserve">os projetos de lei </w:t>
      </w:r>
      <w:r w:rsidR="00043C3D" w:rsidRPr="00102B7D">
        <w:t>a eles relacionados</w:t>
      </w:r>
      <w:r w:rsidR="00C34D6D">
        <w:t>, ora</w:t>
      </w:r>
      <w:r w:rsidR="00043C3D" w:rsidRPr="00102B7D">
        <w:t xml:space="preserve"> </w:t>
      </w:r>
      <w:r w:rsidR="004445AD" w:rsidRPr="00102B7D">
        <w:t>em exame p</w:t>
      </w:r>
      <w:r w:rsidR="00043C3D" w:rsidRPr="00102B7D">
        <w:t xml:space="preserve">or seu </w:t>
      </w:r>
      <w:r w:rsidR="004445AD" w:rsidRPr="00102B7D">
        <w:t>colegiado</w:t>
      </w:r>
      <w:r w:rsidRPr="00102B7D">
        <w:t>.</w:t>
      </w:r>
    </w:p>
    <w:p w14:paraId="75A7DA58" w14:textId="7390844B" w:rsidR="00841139" w:rsidRPr="00841139" w:rsidRDefault="00841139" w:rsidP="00841139">
      <w:pPr>
        <w:pStyle w:val="04-PargrafodetextoEstudoNotas-CLG"/>
        <w:numPr>
          <w:ilvl w:val="0"/>
          <w:numId w:val="4"/>
        </w:numPr>
        <w:rPr>
          <w:b/>
        </w:rPr>
      </w:pPr>
      <w:r>
        <w:rPr>
          <w:b/>
        </w:rPr>
        <w:t>Á</w:t>
      </w:r>
      <w:r w:rsidRPr="00841139">
        <w:rPr>
          <w:b/>
        </w:rPr>
        <w:t>rea de ciência, tecnologia e inovação</w:t>
      </w:r>
    </w:p>
    <w:p w14:paraId="6C7EAECC" w14:textId="14C34EEF" w:rsidR="00577A7D" w:rsidRPr="00102B7D" w:rsidRDefault="00A26ACE" w:rsidP="00577A7D">
      <w:pPr>
        <w:pStyle w:val="04-PargrafodetextoEstudoNotas-CLG"/>
      </w:pPr>
      <w:r>
        <w:t>E</w:t>
      </w:r>
      <w:r w:rsidR="00577A7D" w:rsidRPr="00102B7D">
        <w:t>m tramitação na C</w:t>
      </w:r>
      <w:r w:rsidR="00C9558C">
        <w:t>CT</w:t>
      </w:r>
      <w:r w:rsidR="00577A7D" w:rsidRPr="00102B7D">
        <w:t>, destacam-se as seguintes iniciativas</w:t>
      </w:r>
      <w:r>
        <w:t>:</w:t>
      </w:r>
    </w:p>
    <w:p w14:paraId="2543BE05" w14:textId="671A7ED0" w:rsidR="00DB3B4B" w:rsidRDefault="00D850C5" w:rsidP="0076593F">
      <w:pPr>
        <w:pStyle w:val="04-PargrafodetextoEstudoNotas-CLG"/>
        <w:ind w:left="1418" w:firstLine="0"/>
      </w:pPr>
      <w:r w:rsidRPr="00102B7D">
        <w:t xml:space="preserve">- </w:t>
      </w:r>
      <w:r w:rsidR="00C47565">
        <w:t xml:space="preserve">PL </w:t>
      </w:r>
      <w:r w:rsidR="00F60E90">
        <w:t xml:space="preserve">nº 880, de 2019, de autoria do Senador Jorginho Mello, que </w:t>
      </w:r>
      <w:r w:rsidR="00DB3B4B" w:rsidRPr="000C6C74">
        <w:rPr>
          <w:i/>
          <w:iCs/>
        </w:rPr>
        <w:t xml:space="preserve">institui o Marco Legal da Nanotecnologia e Materiais Avançados; dispõe sobre estímulos ao desenvolvimento científico, à pesquisa, à capacitação científica e tecnológica e </w:t>
      </w:r>
      <w:r w:rsidR="00DB3B4B" w:rsidRPr="000C6C74">
        <w:rPr>
          <w:i/>
          <w:iCs/>
        </w:rPr>
        <w:lastRenderedPageBreak/>
        <w:t xml:space="preserve">à inovação </w:t>
      </w:r>
      <w:proofErr w:type="spellStart"/>
      <w:r w:rsidR="00DB3B4B" w:rsidRPr="000C6C74">
        <w:rPr>
          <w:i/>
          <w:iCs/>
        </w:rPr>
        <w:t>nanotecnológica</w:t>
      </w:r>
      <w:proofErr w:type="spellEnd"/>
      <w:r w:rsidR="00DB3B4B" w:rsidRPr="000C6C74">
        <w:rPr>
          <w:i/>
          <w:iCs/>
        </w:rPr>
        <w:t>; altera as Leis nº 10.973, de 2 de dezembro de 2004, e nº 8.666, de 21 de junho de 1993; e dá outras providências</w:t>
      </w:r>
      <w:r w:rsidR="00DB3B4B">
        <w:t xml:space="preserve">. A </w:t>
      </w:r>
      <w:r w:rsidR="00A96AC7">
        <w:t>CCT decidirá em caráter terminativo sobre essa proposição que, atualmente, encontra-se com a re</w:t>
      </w:r>
      <w:r w:rsidR="00FD2E39">
        <w:t>latora, Senadora Tereza Leitão</w:t>
      </w:r>
      <w:r w:rsidR="00A96AC7">
        <w:t>;</w:t>
      </w:r>
    </w:p>
    <w:p w14:paraId="7C109073" w14:textId="6A6127B8" w:rsidR="00563BB1" w:rsidRDefault="00563BB1" w:rsidP="0076593F">
      <w:pPr>
        <w:pStyle w:val="04-PargrafodetextoEstudoNotas-CLG"/>
        <w:ind w:left="1418" w:firstLine="0"/>
      </w:pPr>
      <w:r>
        <w:t xml:space="preserve">- PL nº 3466, de 2019, de autoria do Senador Randolfe Rodrigues, que </w:t>
      </w:r>
      <w:r w:rsidRPr="000C6C74">
        <w:rPr>
          <w:i/>
          <w:iCs/>
        </w:rPr>
        <w:t>dispõe sobre o Fundo de Financiamento às Empresas Startups (</w:t>
      </w:r>
      <w:proofErr w:type="spellStart"/>
      <w:r w:rsidRPr="000C6C74">
        <w:rPr>
          <w:i/>
          <w:iCs/>
        </w:rPr>
        <w:t>FiStart</w:t>
      </w:r>
      <w:proofErr w:type="spellEnd"/>
      <w:r w:rsidRPr="000C6C74">
        <w:rPr>
          <w:i/>
          <w:iCs/>
        </w:rPr>
        <w:t>) e altera a Lei nº 9.250, de 26 de dezembro de 1995, para permitir que seja deduzida da base de cálculo do Imposto sobre a Renda das Pessoas Físicas (IRPF) parcela dos valores investidos na integralização de capital social em sociedades empresárias Startups</w:t>
      </w:r>
      <w:r>
        <w:t xml:space="preserve">. </w:t>
      </w:r>
      <w:r w:rsidR="007071F7">
        <w:t>A matéria se encontra pronta para ser pautada na CCT;</w:t>
      </w:r>
    </w:p>
    <w:p w14:paraId="05359F61" w14:textId="3D3DBCEE" w:rsidR="007071F7" w:rsidRDefault="00A468C0" w:rsidP="0076593F">
      <w:pPr>
        <w:pStyle w:val="04-PargrafodetextoEstudoNotas-CLG"/>
        <w:ind w:left="1418" w:firstLine="0"/>
      </w:pPr>
      <w:r>
        <w:t xml:space="preserve">- PLP 23, de 2019, de autoria do Senador Jorginho Mello, que </w:t>
      </w:r>
      <w:r w:rsidRPr="000C6C74">
        <w:rPr>
          <w:i/>
          <w:iCs/>
        </w:rPr>
        <w:t>altera a Lei Complementar nº 123, de 14 de dezembro de 2006, a fim de incentivar a pesquisa e o desenvolvimento da nanotecnologia no Brasil</w:t>
      </w:r>
      <w:r>
        <w:t xml:space="preserve">. </w:t>
      </w:r>
      <w:r w:rsidR="0029769F">
        <w:t xml:space="preserve">A matéria encontra-se com o relator, o Senador Fernando </w:t>
      </w:r>
      <w:proofErr w:type="spellStart"/>
      <w:r w:rsidR="0029769F">
        <w:t>Dueire</w:t>
      </w:r>
      <w:proofErr w:type="spellEnd"/>
      <w:r w:rsidR="00D136D0">
        <w:t>;</w:t>
      </w:r>
    </w:p>
    <w:p w14:paraId="55F030AC" w14:textId="4A1A5AE5" w:rsidR="00CA3566" w:rsidRDefault="00D136D0" w:rsidP="00CA3566">
      <w:pPr>
        <w:pStyle w:val="04-PargrafodetextoEstudoNotas-CLG"/>
        <w:ind w:left="1418" w:firstLine="0"/>
      </w:pPr>
      <w:r>
        <w:t xml:space="preserve">- PL nº 5066, de 2020, de autoria do Senador Plínio Valério, que </w:t>
      </w:r>
      <w:r w:rsidRPr="000C6C74">
        <w:rPr>
          <w:i/>
          <w:iCs/>
        </w:rPr>
        <w:t xml:space="preserve">modifica a Lei nº </w:t>
      </w:r>
      <w:r w:rsidR="00FD7631" w:rsidRPr="000C6C74">
        <w:rPr>
          <w:i/>
          <w:iCs/>
        </w:rPr>
        <w:t>9.478, de 6 de agosto de 1997, e a Lei nº 12.351, de 22 de dezembro de 2010, para dispor sobre o estímulo à pesquisa e à adoção de novas tecnologias na exploração e produção de petróleo, gás natural e outros hidrocarbonetos fluidos</w:t>
      </w:r>
      <w:r w:rsidR="00FD7631">
        <w:t xml:space="preserve">. </w:t>
      </w:r>
      <w:r w:rsidR="00CA3566">
        <w:t>A matéria aguarda designação de relator;</w:t>
      </w:r>
    </w:p>
    <w:p w14:paraId="00A61AF3" w14:textId="7FE7A439" w:rsidR="00CA3566" w:rsidRDefault="00CA3566" w:rsidP="00CA3566">
      <w:pPr>
        <w:pStyle w:val="04-PargrafodetextoEstudoNotas-CLG"/>
        <w:ind w:left="1418" w:firstLine="0"/>
      </w:pPr>
      <w:r>
        <w:t xml:space="preserve">- PL nº 3000, de 2021, de autoria do Senador Jorge Kajuru, que </w:t>
      </w:r>
      <w:r w:rsidRPr="000C6C74">
        <w:rPr>
          <w:i/>
          <w:iCs/>
        </w:rPr>
        <w:t>estabelece incentivo à doação de equipamentos de pesquisa a instituições públicas de ensino superior e a instituições científicas, tecnológicas e de inovação</w:t>
      </w:r>
      <w:r w:rsidR="00C7329E">
        <w:t>. A matéria aguarda designação de relator;</w:t>
      </w:r>
    </w:p>
    <w:p w14:paraId="38956047" w14:textId="2F6EF2DD" w:rsidR="00F43D95" w:rsidRPr="00102B7D" w:rsidRDefault="00F43D95" w:rsidP="00F43D95">
      <w:pPr>
        <w:pStyle w:val="04-PargrafodetextoEstudoNotas-CLG"/>
        <w:ind w:left="1418" w:firstLine="0"/>
        <w:rPr>
          <w:i/>
          <w:iCs/>
        </w:rPr>
      </w:pPr>
      <w:r w:rsidRPr="00102B7D">
        <w:t>- PL nº 4</w:t>
      </w:r>
      <w:r>
        <w:t>.</w:t>
      </w:r>
      <w:r w:rsidRPr="00102B7D">
        <w:t>465, de 2021, d</w:t>
      </w:r>
      <w:r>
        <w:t>e autoria d</w:t>
      </w:r>
      <w:r w:rsidRPr="00102B7D">
        <w:t xml:space="preserve">o Senador Alessandro Vieira, que </w:t>
      </w:r>
      <w:r w:rsidRPr="00102B7D">
        <w:rPr>
          <w:i/>
          <w:iCs/>
        </w:rPr>
        <w:t>dispõe sobre incentivos à inovação e à pesquisa científica e tecnológica no setor de saúde, com vistas à sua capacitação produtiva e tecnológica e dá outras providências</w:t>
      </w:r>
      <w:r w:rsidR="0055228F">
        <w:t>. A matéria aguarda designação de relator;</w:t>
      </w:r>
    </w:p>
    <w:p w14:paraId="24FDDB5B" w14:textId="70C34562" w:rsidR="00C7329E" w:rsidRDefault="00C7329E" w:rsidP="00CA3566">
      <w:pPr>
        <w:pStyle w:val="04-PargrafodetextoEstudoNotas-CLG"/>
        <w:ind w:left="1418" w:firstLine="0"/>
      </w:pPr>
      <w:r>
        <w:t xml:space="preserve">- PL 4467, de 2021, de autoria do Senador Alessandro Vieira, que </w:t>
      </w:r>
      <w:r w:rsidRPr="000C6C74">
        <w:rPr>
          <w:i/>
          <w:iCs/>
        </w:rPr>
        <w:t>dispõe sobre a destinação de recursos a programas, projetos e pesquisas de imunobiológicos, com vistas a fomentar a autonomia brasileira na produção de vacinas</w:t>
      </w:r>
      <w:r w:rsidR="00E30946">
        <w:t>. A matéria aguarda designação de relator</w:t>
      </w:r>
      <w:r w:rsidR="005038E1">
        <w:t>;</w:t>
      </w:r>
    </w:p>
    <w:p w14:paraId="6E6C0960" w14:textId="63DB5E21" w:rsidR="00E30946" w:rsidRDefault="00E30946" w:rsidP="00CA3566">
      <w:pPr>
        <w:pStyle w:val="04-PargrafodetextoEstudoNotas-CLG"/>
        <w:ind w:left="1418" w:firstLine="0"/>
      </w:pPr>
      <w:r>
        <w:t xml:space="preserve">- </w:t>
      </w:r>
      <w:r w:rsidR="005E1BE2">
        <w:t xml:space="preserve">PRS nº 32, de 2023, de autoria do Senador Astronauta Marcos pontes, que </w:t>
      </w:r>
      <w:r w:rsidR="005E1BE2" w:rsidRPr="000C6C74">
        <w:rPr>
          <w:i/>
          <w:iCs/>
        </w:rPr>
        <w:t>institui a Frente Parlamentar Mista da Pesquisa Biomédica e Sua Aplicação na Saúde</w:t>
      </w:r>
      <w:r w:rsidR="005E1BE2">
        <w:t>.</w:t>
      </w:r>
      <w:r w:rsidR="005038E1">
        <w:t xml:space="preserve"> A proposição está com a relatora, a Senadora </w:t>
      </w:r>
      <w:proofErr w:type="spellStart"/>
      <w:r w:rsidR="005038E1">
        <w:t>Damares</w:t>
      </w:r>
      <w:proofErr w:type="spellEnd"/>
      <w:r w:rsidR="005038E1">
        <w:t xml:space="preserve"> Alves;</w:t>
      </w:r>
    </w:p>
    <w:p w14:paraId="75B36B16" w14:textId="25C2B9BC" w:rsidR="005E1BE2" w:rsidRDefault="005E1BE2" w:rsidP="00CA3566">
      <w:pPr>
        <w:pStyle w:val="04-PargrafodetextoEstudoNotas-CLG"/>
        <w:ind w:left="1418" w:firstLine="0"/>
      </w:pPr>
      <w:r>
        <w:t xml:space="preserve">- PRS nº 69, de 2023, de autoria do Senador Astronauta Marcos Pontes, que </w:t>
      </w:r>
      <w:r w:rsidRPr="000C6C74">
        <w:rPr>
          <w:i/>
          <w:iCs/>
        </w:rPr>
        <w:t xml:space="preserve">institui a Frente Parlamentar pelo Desenvolvimento da Indústria Farmacêutica e a Produção de </w:t>
      </w:r>
      <w:bookmarkStart w:id="0" w:name="_GoBack"/>
      <w:bookmarkEnd w:id="0"/>
      <w:r w:rsidRPr="000C6C74">
        <w:rPr>
          <w:i/>
          <w:iCs/>
        </w:rPr>
        <w:t>Insumos Farmacêuticos Ativos no Brasil</w:t>
      </w:r>
      <w:r>
        <w:t>. A ma</w:t>
      </w:r>
      <w:r w:rsidR="005038E1">
        <w:t>téria aguarda a designação de relator.</w:t>
      </w:r>
    </w:p>
    <w:p w14:paraId="2984F383" w14:textId="36761297" w:rsidR="00577A7D" w:rsidRPr="00102B7D" w:rsidRDefault="00577A7D" w:rsidP="0076593F">
      <w:pPr>
        <w:pStyle w:val="04-PargrafodetextoEstudoNotas-CLG"/>
        <w:ind w:left="1418" w:firstLine="0"/>
      </w:pPr>
    </w:p>
    <w:p w14:paraId="7FEF949F" w14:textId="7F80C506" w:rsidR="00F4136B" w:rsidRDefault="00F4136B" w:rsidP="44199939">
      <w:pPr>
        <w:pStyle w:val="04-PargrafodetextoEstudoNotas-CLG"/>
      </w:pPr>
      <w:r>
        <w:t>Analisando as proposições mencionadas acima, nota-se que</w:t>
      </w:r>
      <w:r w:rsidR="00871B18">
        <w:t xml:space="preserve"> existe um potencial de direcionamento do esforço da CCT às matérias afeitas à nanotecnologia</w:t>
      </w:r>
      <w:r w:rsidR="000113B1">
        <w:t xml:space="preserve"> e à biologia </w:t>
      </w:r>
      <w:r w:rsidR="00E6511B">
        <w:t xml:space="preserve">e que propiciem </w:t>
      </w:r>
      <w:r w:rsidR="0011529F">
        <w:t xml:space="preserve">incentivo </w:t>
      </w:r>
      <w:r w:rsidR="000113B1">
        <w:t>à</w:t>
      </w:r>
      <w:r w:rsidR="0011529F">
        <w:t xml:space="preserve"> indústria</w:t>
      </w:r>
      <w:r w:rsidR="00871B18">
        <w:t xml:space="preserve"> farmacêutica</w:t>
      </w:r>
      <w:r w:rsidR="00E6511B">
        <w:t>.</w:t>
      </w:r>
      <w:r w:rsidR="000113B1">
        <w:t xml:space="preserve"> </w:t>
      </w:r>
      <w:r w:rsidR="00C055D5">
        <w:t xml:space="preserve">São projetos em diferentes momentos da tramitação legislativa e que se beneficiariam </w:t>
      </w:r>
      <w:r w:rsidR="000243E0">
        <w:t>caso sejam instituídas a Frente Parlamentar Mista da Pesquisa Biomédica e Sua Aplicação na Saúde e a Frente Parlamentar pelo Desenvolvimento da Indústria Farmacêutica e Produção de Insumos Farmacêuticos Ativos no Brasil.</w:t>
      </w:r>
      <w:r w:rsidR="000D28D3">
        <w:t xml:space="preserve"> </w:t>
      </w:r>
    </w:p>
    <w:p w14:paraId="70D3F9DA" w14:textId="6AB3F0C3" w:rsidR="44199939" w:rsidRDefault="000243E0" w:rsidP="44199939">
      <w:pPr>
        <w:pStyle w:val="04-PargrafodetextoEstudoNotas-CLG"/>
      </w:pPr>
      <w:r>
        <w:t>Ademais, h</w:t>
      </w:r>
      <w:r w:rsidR="00577A7D" w:rsidRPr="00102B7D">
        <w:t xml:space="preserve">á, na área, a </w:t>
      </w:r>
      <w:r w:rsidR="44199939" w:rsidRPr="00102B7D">
        <w:t>expectativa de que o Poder Executivo envie ao Congresso o projeto de lei que atend</w:t>
      </w:r>
      <w:r w:rsidR="00577A7D" w:rsidRPr="00102B7D">
        <w:t>a</w:t>
      </w:r>
      <w:r w:rsidR="44199939" w:rsidRPr="00102B7D">
        <w:t xml:space="preserve"> ao art. 219-B da Constituição Federal e regulamente o Sistema Nacional de Ciência, Tecnologia e Inovação (SNCTI), já debatido na CCT em julho de 2022.</w:t>
      </w:r>
      <w:r w:rsidR="00A26ACE">
        <w:t xml:space="preserve"> </w:t>
      </w:r>
    </w:p>
    <w:p w14:paraId="6E53C93A" w14:textId="07E64009" w:rsidR="00A26ACE" w:rsidRDefault="00A26ACE" w:rsidP="44199939">
      <w:pPr>
        <w:pStyle w:val="04-PargrafodetextoEstudoNotas-CLG"/>
      </w:pPr>
      <w:r>
        <w:t>Este último assunto pode ensejar convite para que o Ministério da Ciência, Tecnologia e Inovação discorra sobre o tema.</w:t>
      </w:r>
    </w:p>
    <w:p w14:paraId="4FB5E993" w14:textId="73865E7B" w:rsidR="00A33DEE" w:rsidRDefault="00841139" w:rsidP="00A33DEE">
      <w:pPr>
        <w:pStyle w:val="04-PargrafodetextoEstudoNotas-CLG"/>
        <w:numPr>
          <w:ilvl w:val="0"/>
          <w:numId w:val="4"/>
        </w:numPr>
      </w:pPr>
      <w:r>
        <w:rPr>
          <w:b/>
        </w:rPr>
        <w:t>Outros temas</w:t>
      </w:r>
    </w:p>
    <w:p w14:paraId="549E9325" w14:textId="56E5BBD0" w:rsidR="009B09FF" w:rsidRDefault="00A33DEE" w:rsidP="009B09FF">
      <w:pPr>
        <w:pStyle w:val="04-PargrafodetextoEstudoNotas-CLG"/>
        <w:rPr>
          <w:szCs w:val="28"/>
        </w:rPr>
      </w:pPr>
      <w:r>
        <w:rPr>
          <w:szCs w:val="28"/>
        </w:rPr>
        <w:t xml:space="preserve">Outra matéria </w:t>
      </w:r>
      <w:r w:rsidR="00841139">
        <w:rPr>
          <w:szCs w:val="28"/>
        </w:rPr>
        <w:t xml:space="preserve">que faz parte do rol de atribuições da CCT é a propriedade intelectual. Entendemos que cabe audiência pública sobre o tema a fim de verificar a eficiência da concessão de patentes pelo Brasil. </w:t>
      </w:r>
    </w:p>
    <w:p w14:paraId="6839624B" w14:textId="5FA82E8A" w:rsidR="009B09FF" w:rsidRDefault="0006147F" w:rsidP="009B09FF">
      <w:pPr>
        <w:pStyle w:val="04-PargrafodetextoEstudoNotas-CLG"/>
        <w:numPr>
          <w:ilvl w:val="0"/>
          <w:numId w:val="4"/>
        </w:numPr>
      </w:pPr>
      <w:r>
        <w:rPr>
          <w:b/>
        </w:rPr>
        <w:t>A</w:t>
      </w:r>
      <w:r w:rsidR="00806166">
        <w:rPr>
          <w:b/>
        </w:rPr>
        <w:t>valiação de política pública</w:t>
      </w:r>
    </w:p>
    <w:p w14:paraId="0311F881" w14:textId="1E49F654" w:rsidR="00806166" w:rsidRDefault="00806166" w:rsidP="00806166">
      <w:pPr>
        <w:pStyle w:val="04-PargrafodetextoEstudoNotas-CLG"/>
        <w:rPr>
          <w:szCs w:val="28"/>
        </w:rPr>
      </w:pPr>
      <w:r>
        <w:rPr>
          <w:szCs w:val="28"/>
        </w:rPr>
        <w:t xml:space="preserve">Finalmente, chamamos atenção, neste plano de trabalho, para a escolha </w:t>
      </w:r>
      <w:r w:rsidR="00DA1132">
        <w:rPr>
          <w:szCs w:val="28"/>
        </w:rPr>
        <w:t>de tema a ser acompanhado no âmbito da avaliação de políticas públicas estabelecida pela Resolução nº 44, de 2013.</w:t>
      </w:r>
    </w:p>
    <w:p w14:paraId="48E04D12" w14:textId="62403DD7" w:rsidR="00232748" w:rsidRDefault="00DA1132" w:rsidP="00806166">
      <w:pPr>
        <w:pStyle w:val="04-PargrafodetextoEstudoNotas-CLG"/>
        <w:rPr>
          <w:szCs w:val="28"/>
        </w:rPr>
      </w:pPr>
      <w:r>
        <w:rPr>
          <w:szCs w:val="28"/>
        </w:rPr>
        <w:t xml:space="preserve">A sugestão é que seja o </w:t>
      </w:r>
      <w:r w:rsidR="00232748">
        <w:rPr>
          <w:szCs w:val="28"/>
        </w:rPr>
        <w:t xml:space="preserve">avaliado o tema: </w:t>
      </w:r>
      <w:r w:rsidR="00232748" w:rsidRPr="00232748">
        <w:rPr>
          <w:szCs w:val="28"/>
        </w:rPr>
        <w:t>Superação dos obstáculos à inovação no Brasil</w:t>
      </w:r>
      <w:r w:rsidR="00232748">
        <w:rPr>
          <w:szCs w:val="28"/>
        </w:rPr>
        <w:t>. Plano de trabalho específico sobre isso foi encaminhado no âmbito da STC nº 2023-09160.</w:t>
      </w:r>
    </w:p>
    <w:p w14:paraId="6627DBCB" w14:textId="77777777" w:rsidR="00664FD5" w:rsidRPr="000C6C74" w:rsidRDefault="00664FD5" w:rsidP="00664FD5">
      <w:pPr>
        <w:pStyle w:val="04-PargrafodetextoEstudoNotas-CLG"/>
        <w:numPr>
          <w:ilvl w:val="0"/>
          <w:numId w:val="4"/>
        </w:numPr>
        <w:rPr>
          <w:b/>
        </w:rPr>
      </w:pPr>
      <w:r w:rsidRPr="000C6C74">
        <w:rPr>
          <w:b/>
        </w:rPr>
        <w:t>Comenda em inovação</w:t>
      </w:r>
    </w:p>
    <w:p w14:paraId="2227ED17" w14:textId="77777777" w:rsidR="00664FD5" w:rsidRDefault="00664FD5" w:rsidP="00664FD5">
      <w:pPr>
        <w:pStyle w:val="04-PargrafodetextoEstudoNotas-CLG"/>
        <w:rPr>
          <w:szCs w:val="28"/>
        </w:rPr>
      </w:pPr>
      <w:r w:rsidRPr="000C6C74">
        <w:rPr>
          <w:szCs w:val="28"/>
        </w:rPr>
        <w:t xml:space="preserve">Entendemos pertinente </w:t>
      </w:r>
      <w:r>
        <w:rPr>
          <w:szCs w:val="28"/>
        </w:rPr>
        <w:t>construir</w:t>
      </w:r>
      <w:r w:rsidRPr="000C6C74">
        <w:rPr>
          <w:szCs w:val="28"/>
        </w:rPr>
        <w:t xml:space="preserve"> uma comenda, a ser instituída pelo Senado Federal por meio de projeto de resolução, para agraciar pessoas ou instituições que tenham desenvolvido soluções inovadoras, por meio d</w:t>
      </w:r>
      <w:r>
        <w:rPr>
          <w:szCs w:val="28"/>
        </w:rPr>
        <w:t>e</w:t>
      </w:r>
      <w:r w:rsidRPr="000C6C74">
        <w:rPr>
          <w:szCs w:val="28"/>
        </w:rPr>
        <w:t xml:space="preserve"> pesquisas científicas, que contribuam para o desenvolvimento econômico do Brasil. Trata-se de estímulo para a disseminação da ciência e tecnologia no País. </w:t>
      </w:r>
    </w:p>
    <w:p w14:paraId="37BAFB40" w14:textId="77777777" w:rsidR="00984D44" w:rsidRPr="0039241F" w:rsidRDefault="00984D44" w:rsidP="00984D44">
      <w:pPr>
        <w:pStyle w:val="04-PargrafodetextoEstudoNotas-CLG"/>
      </w:pPr>
      <w:r w:rsidRPr="00102B7D">
        <w:t>Prestadas as informações solicitadas, permanecemos à disposição para quaisquer esclarecimentos</w:t>
      </w:r>
      <w:r w:rsidRPr="0039241F">
        <w:t xml:space="preserve"> adicionais julgados necessários. </w:t>
      </w:r>
    </w:p>
    <w:p w14:paraId="2ABFE465" w14:textId="142854BD" w:rsidR="00DA60AF" w:rsidRPr="0039241F" w:rsidRDefault="00DA60AF" w:rsidP="00DA60AF">
      <w:pPr>
        <w:pStyle w:val="07-LocaleDataEstudoNotas-CLG"/>
      </w:pPr>
      <w:r w:rsidRPr="0039241F">
        <w:t xml:space="preserve">Consultoria Legislativa, </w:t>
      </w:r>
      <w:r w:rsidR="00232748">
        <w:t>0</w:t>
      </w:r>
      <w:r w:rsidR="000C6C74">
        <w:t>6</w:t>
      </w:r>
      <w:r w:rsidR="00574EA8" w:rsidRPr="0039241F">
        <w:t xml:space="preserve"> de </w:t>
      </w:r>
      <w:r w:rsidR="00232748">
        <w:t>julho</w:t>
      </w:r>
      <w:r w:rsidR="00574EA8" w:rsidRPr="0039241F">
        <w:t xml:space="preserve"> de 2023</w:t>
      </w:r>
      <w:r w:rsidRPr="0039241F">
        <w:t>.</w:t>
      </w:r>
    </w:p>
    <w:p w14:paraId="02EB378F" w14:textId="77777777" w:rsidR="00DA60AF" w:rsidRPr="0039241F" w:rsidRDefault="00DA60AF" w:rsidP="00DA60AF">
      <w:pPr>
        <w:pStyle w:val="08-IdentificaoConsultor-CargoEstudoNota-CLG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2"/>
        <w:gridCol w:w="4132"/>
      </w:tblGrid>
      <w:tr w:rsidR="00102B7D" w:rsidRPr="0039241F" w14:paraId="7E0F947B" w14:textId="77777777" w:rsidTr="00232748">
        <w:tc>
          <w:tcPr>
            <w:tcW w:w="4372" w:type="dxa"/>
          </w:tcPr>
          <w:p w14:paraId="0371DD23" w14:textId="43737FD8" w:rsidR="00574EA8" w:rsidRPr="0039241F" w:rsidRDefault="00232748" w:rsidP="00560C5F">
            <w:pPr>
              <w:pStyle w:val="08-IdentificaoConsultor-CargoEstudoNota-CLG"/>
              <w:rPr>
                <w:szCs w:val="28"/>
              </w:rPr>
            </w:pPr>
            <w:r>
              <w:rPr>
                <w:szCs w:val="28"/>
              </w:rPr>
              <w:t>Raquel Mesquita Almeida</w:t>
            </w:r>
          </w:p>
        </w:tc>
        <w:tc>
          <w:tcPr>
            <w:tcW w:w="4132" w:type="dxa"/>
          </w:tcPr>
          <w:p w14:paraId="6B89E504" w14:textId="3304825F" w:rsidR="00574EA8" w:rsidRPr="0039241F" w:rsidRDefault="00232748" w:rsidP="00560C5F">
            <w:pPr>
              <w:pStyle w:val="08-IdentificaoConsultor-CargoEstudoNota-CLG"/>
              <w:rPr>
                <w:szCs w:val="28"/>
              </w:rPr>
            </w:pPr>
            <w:r>
              <w:rPr>
                <w:szCs w:val="28"/>
              </w:rPr>
              <w:t>Fernando B. Meneguin</w:t>
            </w:r>
          </w:p>
        </w:tc>
      </w:tr>
      <w:tr w:rsidR="00102B7D" w:rsidRPr="0039241F" w14:paraId="19D52F49" w14:textId="77777777" w:rsidTr="00232748">
        <w:tc>
          <w:tcPr>
            <w:tcW w:w="4372" w:type="dxa"/>
          </w:tcPr>
          <w:p w14:paraId="4441AD4B" w14:textId="77777777" w:rsidR="00574EA8" w:rsidRPr="0039241F" w:rsidRDefault="00574EA8" w:rsidP="00560C5F">
            <w:pPr>
              <w:pStyle w:val="08-IdentificaoConsultor-CargoEstudoNota-CLG"/>
              <w:rPr>
                <w:i/>
                <w:szCs w:val="28"/>
              </w:rPr>
            </w:pPr>
            <w:r w:rsidRPr="0039241F">
              <w:rPr>
                <w:i/>
                <w:szCs w:val="28"/>
              </w:rPr>
              <w:t>Consultora Legislativa</w:t>
            </w:r>
          </w:p>
        </w:tc>
        <w:tc>
          <w:tcPr>
            <w:tcW w:w="4132" w:type="dxa"/>
          </w:tcPr>
          <w:p w14:paraId="46AD304B" w14:textId="77777777" w:rsidR="00574EA8" w:rsidRPr="0039241F" w:rsidRDefault="00574EA8" w:rsidP="00560C5F">
            <w:pPr>
              <w:pStyle w:val="08-IdentificaoConsultor-CargoEstudoNota-CLG"/>
              <w:rPr>
                <w:i/>
                <w:szCs w:val="28"/>
              </w:rPr>
            </w:pPr>
            <w:r w:rsidRPr="0039241F">
              <w:rPr>
                <w:i/>
                <w:szCs w:val="28"/>
              </w:rPr>
              <w:t>Consultor Legislativo</w:t>
            </w:r>
          </w:p>
        </w:tc>
      </w:tr>
      <w:tr w:rsidR="00102B7D" w:rsidRPr="0039241F" w14:paraId="72A3D3EC" w14:textId="77777777" w:rsidTr="00232748">
        <w:tc>
          <w:tcPr>
            <w:tcW w:w="4372" w:type="dxa"/>
          </w:tcPr>
          <w:p w14:paraId="0D0B940D" w14:textId="77777777" w:rsidR="00984D44" w:rsidRPr="0039241F" w:rsidRDefault="00984D44" w:rsidP="0015009F">
            <w:pPr>
              <w:pStyle w:val="08-IdentificaoConsultor-CargoEstudoNota-CLG"/>
              <w:rPr>
                <w:szCs w:val="28"/>
              </w:rPr>
            </w:pPr>
          </w:p>
        </w:tc>
        <w:tc>
          <w:tcPr>
            <w:tcW w:w="4132" w:type="dxa"/>
          </w:tcPr>
          <w:p w14:paraId="0E27B00A" w14:textId="77777777" w:rsidR="00984D44" w:rsidRPr="0039241F" w:rsidRDefault="00984D44" w:rsidP="0015009F">
            <w:pPr>
              <w:pStyle w:val="08-IdentificaoConsultor-CargoEstudoNota-CLG"/>
              <w:rPr>
                <w:szCs w:val="28"/>
              </w:rPr>
            </w:pPr>
          </w:p>
        </w:tc>
      </w:tr>
    </w:tbl>
    <w:p w14:paraId="60061E4C" w14:textId="77777777" w:rsidR="004A1F46" w:rsidRPr="00DA60AF" w:rsidRDefault="004A1F46" w:rsidP="00984D44">
      <w:pPr>
        <w:pStyle w:val="08-IdentificaoConsultor-CargoEstudoNota-CLG"/>
      </w:pPr>
    </w:p>
    <w:sectPr w:rsidR="004A1F46" w:rsidRPr="00DA60AF" w:rsidSect="00DA60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BBA6A" w14:textId="77777777" w:rsidR="0013326C" w:rsidRDefault="0013326C" w:rsidP="00DA60AF">
      <w:pPr>
        <w:spacing w:after="0" w:line="240" w:lineRule="auto"/>
      </w:pPr>
      <w:r>
        <w:separator/>
      </w:r>
    </w:p>
  </w:endnote>
  <w:endnote w:type="continuationSeparator" w:id="0">
    <w:p w14:paraId="21FC1D90" w14:textId="77777777" w:rsidR="0013326C" w:rsidRDefault="0013326C" w:rsidP="00DA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FCF7C" w14:textId="58C70D24" w:rsidR="0015009F" w:rsidRDefault="000C6C74">
    <w:pPr>
      <w:pStyle w:val="Rodap"/>
      <w:rPr>
        <w:i/>
        <w:iCs/>
        <w:sz w:val="18"/>
      </w:rPr>
    </w:pPr>
    <w:r>
      <w:rPr>
        <w:i/>
        <w:iCs/>
        <w:sz w:val="18"/>
      </w:rPr>
      <w:t>f</w:t>
    </w:r>
    <w:r w:rsidR="00232748">
      <w:rPr>
        <w:i/>
        <w:iCs/>
        <w:sz w:val="18"/>
      </w:rPr>
      <w:t>b</w:t>
    </w:r>
    <w:r w:rsidR="00643ADC">
      <w:rPr>
        <w:i/>
        <w:iCs/>
        <w:sz w:val="18"/>
      </w:rPr>
      <w:t>-rq</w:t>
    </w:r>
    <w:r w:rsidR="00574EA8">
      <w:rPr>
        <w:i/>
        <w:iCs/>
        <w:sz w:val="18"/>
      </w:rPr>
      <w:t>2023-0</w:t>
    </w:r>
    <w:r w:rsidR="00232748">
      <w:rPr>
        <w:i/>
        <w:iCs/>
        <w:sz w:val="18"/>
      </w:rPr>
      <w:t>9161</w:t>
    </w:r>
    <w:r w:rsidR="0015009F">
      <w:rPr>
        <w:i/>
        <w:iCs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15009F" w:rsidRDefault="0015009F" w:rsidP="0015009F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14:paraId="63F1D452" w14:textId="77777777" w:rsidR="0015009F" w:rsidRDefault="00592D86" w:rsidP="0015009F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</w:rPr>
      <w:drawing>
        <wp:anchor distT="0" distB="0" distL="114300" distR="114300" simplePos="0" relativeHeight="251657728" behindDoc="0" locked="0" layoutInCell="1" allowOverlap="1" wp14:anchorId="21E99A5B" wp14:editId="07777777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0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15009F" w:rsidRPr="00196BF2" w:rsidRDefault="0015009F" w:rsidP="0015009F">
    <w:pPr>
      <w:pStyle w:val="Rodap"/>
      <w:jc w:val="center"/>
      <w:rPr>
        <w:sz w:val="14"/>
        <w:szCs w:val="14"/>
      </w:rPr>
    </w:pPr>
  </w:p>
  <w:p w14:paraId="2109BBA1" w14:textId="77777777" w:rsidR="0015009F" w:rsidRDefault="0015009F" w:rsidP="0015009F">
    <w:pPr>
      <w:pStyle w:val="Rodap"/>
      <w:jc w:val="center"/>
      <w:rPr>
        <w:sz w:val="16"/>
        <w:szCs w:val="16"/>
      </w:rPr>
    </w:pPr>
    <w:r w:rsidRPr="00A80C4B">
      <w:rPr>
        <w:sz w:val="16"/>
        <w:szCs w:val="16"/>
      </w:rPr>
      <w:t xml:space="preserve">Senado Federal </w:t>
    </w:r>
    <w:r>
      <w:rPr>
        <w:sz w:val="16"/>
        <w:szCs w:val="16"/>
      </w:rPr>
      <w:t>–</w:t>
    </w:r>
    <w:r w:rsidRPr="00A80C4B">
      <w:rPr>
        <w:sz w:val="16"/>
        <w:szCs w:val="16"/>
      </w:rPr>
      <w:t xml:space="preserve"> Praça dos Três Poderes </w:t>
    </w:r>
    <w:r>
      <w:rPr>
        <w:sz w:val="16"/>
        <w:szCs w:val="16"/>
      </w:rPr>
      <w:t xml:space="preserve">– </w:t>
    </w:r>
    <w:r w:rsidRPr="00A80C4B">
      <w:rPr>
        <w:sz w:val="16"/>
        <w:szCs w:val="16"/>
      </w:rPr>
      <w:t xml:space="preserve">CEP 70165-900 </w:t>
    </w:r>
    <w:r>
      <w:rPr>
        <w:sz w:val="16"/>
        <w:szCs w:val="16"/>
      </w:rPr>
      <w:t>–</w:t>
    </w:r>
    <w:r w:rsidRPr="00A80C4B">
      <w:rPr>
        <w:sz w:val="16"/>
        <w:szCs w:val="16"/>
      </w:rPr>
      <w:t xml:space="preserve"> Brasília DF </w:t>
    </w:r>
  </w:p>
  <w:p w14:paraId="48F2AE6A" w14:textId="77777777" w:rsidR="0015009F" w:rsidRPr="00A81B11" w:rsidRDefault="0015009F" w:rsidP="0015009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Telefone: +55 </w:t>
    </w:r>
    <w:r w:rsidRPr="00A80C4B">
      <w:rPr>
        <w:sz w:val="16"/>
        <w:szCs w:val="16"/>
      </w:rPr>
      <w:t>(61)</w:t>
    </w:r>
    <w:r>
      <w:rPr>
        <w:sz w:val="16"/>
        <w:szCs w:val="16"/>
      </w:rPr>
      <w:t xml:space="preserve"> </w:t>
    </w:r>
    <w:r w:rsidRPr="00A80C4B">
      <w:rPr>
        <w:sz w:val="16"/>
        <w:szCs w:val="16"/>
      </w:rPr>
      <w:t xml:space="preserve">3303-4141 </w:t>
    </w:r>
    <w:r>
      <w:rPr>
        <w:sz w:val="16"/>
        <w:szCs w:val="16"/>
      </w:rPr>
      <w:t>– alosenado@senado.gov.br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7A32D" w14:textId="77777777" w:rsidR="0013326C" w:rsidRDefault="0013326C" w:rsidP="00DA60AF">
      <w:pPr>
        <w:spacing w:after="0" w:line="240" w:lineRule="auto"/>
      </w:pPr>
      <w:r>
        <w:separator/>
      </w:r>
    </w:p>
  </w:footnote>
  <w:footnote w:type="continuationSeparator" w:id="0">
    <w:p w14:paraId="5637901E" w14:textId="77777777" w:rsidR="0013326C" w:rsidRDefault="0013326C" w:rsidP="00DA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6DDB" w14:textId="77777777" w:rsidR="0015009F" w:rsidRDefault="0015009F" w:rsidP="00DA60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B94D5A5" w14:textId="77777777" w:rsidR="0015009F" w:rsidRDefault="0015009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15009F" w:rsidRDefault="0015009F" w:rsidP="00DA60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054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4EAFD9C" w14:textId="77777777" w:rsidR="0015009F" w:rsidRDefault="0015009F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652C" w14:textId="77777777" w:rsidR="0015009F" w:rsidRDefault="00592D86" w:rsidP="0015009F">
    <w:pPr>
      <w:pStyle w:val="Cabealho"/>
      <w:spacing w:after="120"/>
      <w:jc w:val="center"/>
    </w:pPr>
    <w:r w:rsidRPr="00B73978">
      <w:rPr>
        <w:noProof/>
      </w:rPr>
      <w:drawing>
        <wp:inline distT="0" distB="0" distL="0" distR="0" wp14:anchorId="1394B98A" wp14:editId="07777777">
          <wp:extent cx="1217295" cy="930275"/>
          <wp:effectExtent l="0" t="0" r="0" b="0"/>
          <wp:docPr id="1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DD0C0" w14:textId="77777777" w:rsidR="0015009F" w:rsidRPr="00C21CE8" w:rsidRDefault="0015009F" w:rsidP="0015009F">
    <w:pPr>
      <w:pStyle w:val="Cabealho"/>
      <w:spacing w:after="360"/>
      <w:jc w:val="center"/>
    </w:pPr>
    <w:r>
      <w:t>Consultoria Legislativa</w:t>
    </w:r>
  </w:p>
  <w:p w14:paraId="4B99056E" w14:textId="77777777" w:rsidR="0015009F" w:rsidRDefault="0015009F" w:rsidP="0015009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148"/>
    <w:multiLevelType w:val="hybridMultilevel"/>
    <w:tmpl w:val="6D387138"/>
    <w:lvl w:ilvl="0" w:tplc="6D28EF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53B78B4"/>
    <w:multiLevelType w:val="hybridMultilevel"/>
    <w:tmpl w:val="CFFEF20E"/>
    <w:lvl w:ilvl="0" w:tplc="41247E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4BE0919"/>
    <w:multiLevelType w:val="hybridMultilevel"/>
    <w:tmpl w:val="6B88C152"/>
    <w:lvl w:ilvl="0" w:tplc="C06097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F490678"/>
    <w:multiLevelType w:val="hybridMultilevel"/>
    <w:tmpl w:val="DC1A6CEA"/>
    <w:lvl w:ilvl="0" w:tplc="A77013C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D131D93"/>
    <w:multiLevelType w:val="hybridMultilevel"/>
    <w:tmpl w:val="8E5CEF56"/>
    <w:lvl w:ilvl="0" w:tplc="4C2A5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AF"/>
    <w:rsid w:val="00005B8A"/>
    <w:rsid w:val="00010CAA"/>
    <w:rsid w:val="000113B1"/>
    <w:rsid w:val="000243E0"/>
    <w:rsid w:val="00043C3D"/>
    <w:rsid w:val="0006147F"/>
    <w:rsid w:val="0007404B"/>
    <w:rsid w:val="00083414"/>
    <w:rsid w:val="0008713C"/>
    <w:rsid w:val="000A60EF"/>
    <w:rsid w:val="000C6C74"/>
    <w:rsid w:val="000D28D3"/>
    <w:rsid w:val="000D62FD"/>
    <w:rsid w:val="000E510F"/>
    <w:rsid w:val="000F2C68"/>
    <w:rsid w:val="00102B7D"/>
    <w:rsid w:val="0011529F"/>
    <w:rsid w:val="0013326C"/>
    <w:rsid w:val="001470E2"/>
    <w:rsid w:val="0015009F"/>
    <w:rsid w:val="001B48A2"/>
    <w:rsid w:val="001B76B8"/>
    <w:rsid w:val="001C3B08"/>
    <w:rsid w:val="001D2B6D"/>
    <w:rsid w:val="001D7F88"/>
    <w:rsid w:val="001F6F6C"/>
    <w:rsid w:val="00211BC8"/>
    <w:rsid w:val="0021665A"/>
    <w:rsid w:val="00232748"/>
    <w:rsid w:val="0029769F"/>
    <w:rsid w:val="002D69C7"/>
    <w:rsid w:val="002F1642"/>
    <w:rsid w:val="002F443A"/>
    <w:rsid w:val="002F7EB6"/>
    <w:rsid w:val="00307028"/>
    <w:rsid w:val="00326CC3"/>
    <w:rsid w:val="00333031"/>
    <w:rsid w:val="00333F25"/>
    <w:rsid w:val="00365B33"/>
    <w:rsid w:val="0037209D"/>
    <w:rsid w:val="00372293"/>
    <w:rsid w:val="00387F31"/>
    <w:rsid w:val="0039241F"/>
    <w:rsid w:val="003B1AD7"/>
    <w:rsid w:val="003C39CD"/>
    <w:rsid w:val="003D7F46"/>
    <w:rsid w:val="003F569B"/>
    <w:rsid w:val="00416E94"/>
    <w:rsid w:val="004267ED"/>
    <w:rsid w:val="004445AD"/>
    <w:rsid w:val="00491158"/>
    <w:rsid w:val="004A1F46"/>
    <w:rsid w:val="004B434B"/>
    <w:rsid w:val="004C5067"/>
    <w:rsid w:val="004D2B7A"/>
    <w:rsid w:val="004F47DF"/>
    <w:rsid w:val="005038E1"/>
    <w:rsid w:val="00550C8E"/>
    <w:rsid w:val="0055228F"/>
    <w:rsid w:val="00560C5F"/>
    <w:rsid w:val="00563BB1"/>
    <w:rsid w:val="00567F0C"/>
    <w:rsid w:val="00574EA8"/>
    <w:rsid w:val="00577A7D"/>
    <w:rsid w:val="00592D86"/>
    <w:rsid w:val="005D6C4E"/>
    <w:rsid w:val="005E1BE2"/>
    <w:rsid w:val="00630289"/>
    <w:rsid w:val="00643ADC"/>
    <w:rsid w:val="00651A52"/>
    <w:rsid w:val="00662774"/>
    <w:rsid w:val="00664FD5"/>
    <w:rsid w:val="00691F2C"/>
    <w:rsid w:val="006A4DAD"/>
    <w:rsid w:val="006A748E"/>
    <w:rsid w:val="006D2149"/>
    <w:rsid w:val="006E5FB2"/>
    <w:rsid w:val="006F3CE5"/>
    <w:rsid w:val="006F47E2"/>
    <w:rsid w:val="007071F7"/>
    <w:rsid w:val="007220C9"/>
    <w:rsid w:val="00734707"/>
    <w:rsid w:val="00741DDD"/>
    <w:rsid w:val="007521EF"/>
    <w:rsid w:val="0076593F"/>
    <w:rsid w:val="007C0E83"/>
    <w:rsid w:val="007C1054"/>
    <w:rsid w:val="007C44B2"/>
    <w:rsid w:val="007C55FB"/>
    <w:rsid w:val="007E0BFF"/>
    <w:rsid w:val="00806166"/>
    <w:rsid w:val="00814524"/>
    <w:rsid w:val="00814E5C"/>
    <w:rsid w:val="00820ED8"/>
    <w:rsid w:val="00841139"/>
    <w:rsid w:val="00871B18"/>
    <w:rsid w:val="0087301A"/>
    <w:rsid w:val="008B087A"/>
    <w:rsid w:val="008B5E26"/>
    <w:rsid w:val="008B74CA"/>
    <w:rsid w:val="008F225C"/>
    <w:rsid w:val="008F68CD"/>
    <w:rsid w:val="0090582C"/>
    <w:rsid w:val="009069DC"/>
    <w:rsid w:val="00923FA9"/>
    <w:rsid w:val="00953955"/>
    <w:rsid w:val="00965904"/>
    <w:rsid w:val="00983A37"/>
    <w:rsid w:val="00984D44"/>
    <w:rsid w:val="009B09FF"/>
    <w:rsid w:val="009D0896"/>
    <w:rsid w:val="009E5AC0"/>
    <w:rsid w:val="00A22ED8"/>
    <w:rsid w:val="00A26ACE"/>
    <w:rsid w:val="00A33DEE"/>
    <w:rsid w:val="00A41A97"/>
    <w:rsid w:val="00A468C0"/>
    <w:rsid w:val="00A51893"/>
    <w:rsid w:val="00A96AC7"/>
    <w:rsid w:val="00A975AE"/>
    <w:rsid w:val="00AA0AA8"/>
    <w:rsid w:val="00AC0A83"/>
    <w:rsid w:val="00AC27BF"/>
    <w:rsid w:val="00AF3006"/>
    <w:rsid w:val="00AF5826"/>
    <w:rsid w:val="00B1319F"/>
    <w:rsid w:val="00B44701"/>
    <w:rsid w:val="00B73116"/>
    <w:rsid w:val="00B93A25"/>
    <w:rsid w:val="00B9730A"/>
    <w:rsid w:val="00B97820"/>
    <w:rsid w:val="00BB30B6"/>
    <w:rsid w:val="00C055D5"/>
    <w:rsid w:val="00C07440"/>
    <w:rsid w:val="00C16BBF"/>
    <w:rsid w:val="00C34D6D"/>
    <w:rsid w:val="00C46F5E"/>
    <w:rsid w:val="00C47565"/>
    <w:rsid w:val="00C7329E"/>
    <w:rsid w:val="00C75A14"/>
    <w:rsid w:val="00C950E7"/>
    <w:rsid w:val="00C9558C"/>
    <w:rsid w:val="00CA27D2"/>
    <w:rsid w:val="00CA3566"/>
    <w:rsid w:val="00CC2CE3"/>
    <w:rsid w:val="00CD7927"/>
    <w:rsid w:val="00D062CE"/>
    <w:rsid w:val="00D136D0"/>
    <w:rsid w:val="00D20CE3"/>
    <w:rsid w:val="00D24946"/>
    <w:rsid w:val="00D31A59"/>
    <w:rsid w:val="00D5023A"/>
    <w:rsid w:val="00D734D0"/>
    <w:rsid w:val="00D7604C"/>
    <w:rsid w:val="00D850C5"/>
    <w:rsid w:val="00D93DAD"/>
    <w:rsid w:val="00DA1132"/>
    <w:rsid w:val="00DA60AF"/>
    <w:rsid w:val="00DB3B4B"/>
    <w:rsid w:val="00E30946"/>
    <w:rsid w:val="00E625DF"/>
    <w:rsid w:val="00E6511B"/>
    <w:rsid w:val="00E945A6"/>
    <w:rsid w:val="00EB1891"/>
    <w:rsid w:val="00EB4AF2"/>
    <w:rsid w:val="00F00FD8"/>
    <w:rsid w:val="00F1116F"/>
    <w:rsid w:val="00F24591"/>
    <w:rsid w:val="00F373A9"/>
    <w:rsid w:val="00F4136B"/>
    <w:rsid w:val="00F41D4A"/>
    <w:rsid w:val="00F43D95"/>
    <w:rsid w:val="00F60E90"/>
    <w:rsid w:val="00F93A30"/>
    <w:rsid w:val="00FA3F34"/>
    <w:rsid w:val="00FB5514"/>
    <w:rsid w:val="00FC0E58"/>
    <w:rsid w:val="00FD2E39"/>
    <w:rsid w:val="00FD7631"/>
    <w:rsid w:val="00FD7F48"/>
    <w:rsid w:val="00FE1CEA"/>
    <w:rsid w:val="00FE4281"/>
    <w:rsid w:val="44199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817E8"/>
  <w15:chartTrackingRefBased/>
  <w15:docId w15:val="{7318CD90-45B7-4FBD-83AD-30CE615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F4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B7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E5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link w:val="CabealhoChar"/>
    <w:semiHidden/>
    <w:rsid w:val="00DA60AF"/>
    <w:pPr>
      <w:tabs>
        <w:tab w:val="center" w:pos="4419"/>
        <w:tab w:val="right" w:pos="8838"/>
      </w:tabs>
    </w:pPr>
    <w:rPr>
      <w:rFonts w:ascii="Times New Roman" w:eastAsia="Times New Roman" w:hAnsi="Times New Roman"/>
      <w:lang w:eastAsia="pt-BR"/>
    </w:rPr>
  </w:style>
  <w:style w:type="character" w:customStyle="1" w:styleId="CabealhoChar">
    <w:name w:val="Cabeçalho Char"/>
    <w:aliases w:val="Cabeçalho - CLG Char"/>
    <w:link w:val="Cabealho"/>
    <w:semiHidden/>
    <w:rsid w:val="00DA60AF"/>
    <w:rPr>
      <w:rFonts w:ascii="Times New Roman" w:eastAsia="Times New Roman" w:hAnsi="Times New Roman"/>
      <w:lang w:val="pt-BR" w:eastAsia="pt-BR" w:bidi="ar-SA"/>
    </w:rPr>
  </w:style>
  <w:style w:type="character" w:styleId="Nmerodepgina">
    <w:name w:val="page number"/>
    <w:aliases w:val="Número de página - CLG"/>
    <w:basedOn w:val="Fontepargpadro"/>
    <w:semiHidden/>
    <w:rsid w:val="00DA60AF"/>
  </w:style>
  <w:style w:type="paragraph" w:styleId="Rodap">
    <w:name w:val="footer"/>
    <w:aliases w:val="Rodapé - CLG"/>
    <w:basedOn w:val="Normal"/>
    <w:link w:val="RodapChar"/>
    <w:semiHidden/>
    <w:rsid w:val="00DA60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aliases w:val="Rodapé - CLG Char"/>
    <w:link w:val="Rodap"/>
    <w:semiHidden/>
    <w:rsid w:val="00DA60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1-TtuloEstudoNota-CLG">
    <w:name w:val="01 - Título Estudo Nota - CLG"/>
    <w:link w:val="01-TtuloEstudoNota-CLGChar"/>
    <w:rsid w:val="00DA60AF"/>
    <w:pPr>
      <w:spacing w:after="1200"/>
      <w:jc w:val="center"/>
    </w:pPr>
    <w:rPr>
      <w:rFonts w:ascii="Times New Roman" w:eastAsia="Times New Roman" w:hAnsi="Times New Roman"/>
      <w:b/>
      <w:bCs/>
      <w:sz w:val="34"/>
      <w:lang w:eastAsia="pt-BR"/>
    </w:rPr>
  </w:style>
  <w:style w:type="paragraph" w:customStyle="1" w:styleId="02-EmentaEstudoNota-CLG">
    <w:name w:val="02 - Ementa Estudo Nota - CLG"/>
    <w:link w:val="02-EmentaEstudoNota-CLGChar"/>
    <w:rsid w:val="00DA60AF"/>
    <w:pPr>
      <w:spacing w:after="1200"/>
      <w:ind w:left="3686"/>
      <w:jc w:val="both"/>
    </w:pPr>
    <w:rPr>
      <w:rFonts w:ascii="Times New Roman" w:eastAsia="Times New Roman" w:hAnsi="Times New Roman"/>
      <w:sz w:val="24"/>
      <w:lang w:eastAsia="pt-BR"/>
    </w:rPr>
  </w:style>
  <w:style w:type="paragraph" w:customStyle="1" w:styleId="04-PargrafodetextoEstudoNotas-CLG">
    <w:name w:val="04 - Parágrafo de texto Estudo Notas - CLG"/>
    <w:link w:val="04-PargrafodetextoEstudoNotas-CLGChar"/>
    <w:rsid w:val="00DA60AF"/>
    <w:pPr>
      <w:spacing w:after="360" w:line="360" w:lineRule="auto"/>
      <w:ind w:firstLine="1418"/>
      <w:jc w:val="both"/>
    </w:pPr>
    <w:rPr>
      <w:rFonts w:ascii="Times New Roman" w:eastAsia="Times New Roman" w:hAnsi="Times New Roman"/>
      <w:sz w:val="28"/>
      <w:lang w:eastAsia="pt-BR"/>
    </w:rPr>
  </w:style>
  <w:style w:type="paragraph" w:customStyle="1" w:styleId="07-LocaleDataEstudoNotas-CLG">
    <w:name w:val="07 - Local e Data Estudo Notas - CLG"/>
    <w:link w:val="07-LocaleDataEstudoNotas-CLGChar"/>
    <w:rsid w:val="00DA60AF"/>
    <w:pPr>
      <w:spacing w:before="960" w:after="840"/>
      <w:ind w:left="2124"/>
    </w:pPr>
    <w:rPr>
      <w:rFonts w:ascii="Times New Roman" w:eastAsia="Times New Roman" w:hAnsi="Times New Roman"/>
      <w:sz w:val="28"/>
      <w:lang w:eastAsia="pt-BR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DA60AF"/>
    <w:pPr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01-TtuloEstudoNota-CLGChar">
    <w:name w:val="01 - Título Estudo Nota - CLG Char"/>
    <w:link w:val="01-TtuloEstudoNota-CLG"/>
    <w:rsid w:val="00DA60AF"/>
    <w:rPr>
      <w:rFonts w:ascii="Times New Roman" w:eastAsia="Times New Roman" w:hAnsi="Times New Roman"/>
      <w:b/>
      <w:bCs/>
      <w:sz w:val="34"/>
      <w:lang w:val="pt-BR" w:eastAsia="pt-BR" w:bidi="ar-SA"/>
    </w:rPr>
  </w:style>
  <w:style w:type="character" w:customStyle="1" w:styleId="02-EmentaEstudoNota-CLGChar">
    <w:name w:val="02 - Ementa Estudo Nota - CLG Char"/>
    <w:link w:val="02-EmentaEstudoNota-CLG"/>
    <w:rsid w:val="00DA60AF"/>
    <w:rPr>
      <w:rFonts w:ascii="Times New Roman" w:eastAsia="Times New Roman" w:hAnsi="Times New Roman"/>
      <w:sz w:val="24"/>
      <w:lang w:val="pt-BR" w:eastAsia="pt-BR" w:bidi="ar-SA"/>
    </w:rPr>
  </w:style>
  <w:style w:type="character" w:customStyle="1" w:styleId="04-PargrafodetextoEstudoNotas-CLGChar">
    <w:name w:val="04 - Parágrafo de texto Estudo Notas - CLG Char"/>
    <w:link w:val="04-PargrafodetextoEstudoNotas-CLG"/>
    <w:rsid w:val="00DA60AF"/>
    <w:rPr>
      <w:rFonts w:ascii="Times New Roman" w:eastAsia="Times New Roman" w:hAnsi="Times New Roman"/>
      <w:sz w:val="28"/>
      <w:lang w:val="pt-BR" w:eastAsia="pt-BR" w:bidi="ar-SA"/>
    </w:rPr>
  </w:style>
  <w:style w:type="character" w:customStyle="1" w:styleId="07-LocaleDataEstudoNotas-CLGChar">
    <w:name w:val="07 - Local e Data Estudo Notas - CLG Char"/>
    <w:link w:val="07-LocaleDataEstudoNotas-CLG"/>
    <w:rsid w:val="00DA60AF"/>
    <w:rPr>
      <w:rFonts w:ascii="Times New Roman" w:eastAsia="Times New Roman" w:hAnsi="Times New Roman"/>
      <w:sz w:val="28"/>
      <w:lang w:val="pt-BR" w:eastAsia="pt-BR" w:bidi="ar-SA"/>
    </w:rPr>
  </w:style>
  <w:style w:type="character" w:customStyle="1" w:styleId="08-IdentificaoConsultor-CargoEstudoNota-CLGChar">
    <w:name w:val="08 - Identificação Consultor-Cargo Estudo Nota - CLG Char"/>
    <w:link w:val="08-IdentificaoConsultor-CargoEstudoNota-CLG"/>
    <w:rsid w:val="00DA60AF"/>
    <w:rPr>
      <w:rFonts w:ascii="Times New Roman" w:eastAsia="Times New Roman" w:hAnsi="Times New Roman"/>
      <w:sz w:val="28"/>
      <w:lang w:val="pt-BR" w:eastAsia="pt-BR" w:bidi="ar-SA"/>
    </w:rPr>
  </w:style>
  <w:style w:type="paragraph" w:customStyle="1" w:styleId="03-SubttuloEstudoNota-CLG">
    <w:name w:val="03 - Subtítulo Estudo Nota - CLG"/>
    <w:rsid w:val="00DA60AF"/>
    <w:pPr>
      <w:spacing w:after="360" w:line="420" w:lineRule="exact"/>
      <w:ind w:left="357" w:hanging="357"/>
    </w:pPr>
    <w:rPr>
      <w:rFonts w:ascii="Times New Roman" w:eastAsia="Times New Roman" w:hAnsi="Times New Roman"/>
      <w:sz w:val="28"/>
      <w:lang w:eastAsia="pt-BR"/>
    </w:rPr>
  </w:style>
  <w:style w:type="paragraph" w:customStyle="1" w:styleId="05-Citaolegal-linhasiniciais-CLG">
    <w:name w:val="05 - Citação legal - linhas iniciais - CLG"/>
    <w:rsid w:val="00DA60AF"/>
    <w:pPr>
      <w:spacing w:after="120"/>
      <w:ind w:left="1985" w:firstLine="567"/>
      <w:jc w:val="both"/>
    </w:pPr>
    <w:rPr>
      <w:rFonts w:ascii="Times New Roman" w:eastAsia="Times New Roman" w:hAnsi="Times New Roman"/>
      <w:bCs/>
      <w:sz w:val="24"/>
      <w:lang w:eastAsia="pt-BR"/>
    </w:rPr>
  </w:style>
  <w:style w:type="paragraph" w:customStyle="1" w:styleId="06-Citaolegal-linhafinal-CLG">
    <w:name w:val="06 - Citação legal - linha final - CLG"/>
    <w:rsid w:val="00DA60AF"/>
    <w:pPr>
      <w:spacing w:after="480"/>
      <w:ind w:left="1985" w:firstLine="567"/>
      <w:jc w:val="both"/>
    </w:pPr>
    <w:rPr>
      <w:rFonts w:ascii="Times New Roman" w:eastAsia="Times New Roman" w:hAnsi="Times New Roman"/>
      <w:sz w:val="24"/>
      <w:lang w:eastAsia="pt-BR"/>
    </w:rPr>
  </w:style>
  <w:style w:type="character" w:styleId="Refdecomentrio">
    <w:name w:val="annotation reference"/>
    <w:semiHidden/>
    <w:rsid w:val="004C5067"/>
    <w:rPr>
      <w:sz w:val="16"/>
      <w:szCs w:val="16"/>
    </w:rPr>
  </w:style>
  <w:style w:type="paragraph" w:styleId="Textodecomentrio">
    <w:name w:val="annotation text"/>
    <w:basedOn w:val="Normal"/>
    <w:semiHidden/>
    <w:rsid w:val="004C50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4C5067"/>
    <w:rPr>
      <w:b/>
      <w:bCs/>
    </w:rPr>
  </w:style>
  <w:style w:type="paragraph" w:styleId="Textodebalo">
    <w:name w:val="Balloon Text"/>
    <w:basedOn w:val="Normal"/>
    <w:semiHidden/>
    <w:rsid w:val="004C5067"/>
    <w:rPr>
      <w:rFonts w:ascii="Tahoma" w:hAnsi="Tahoma" w:cs="Tahoma"/>
      <w:sz w:val="16"/>
      <w:szCs w:val="16"/>
    </w:rPr>
  </w:style>
  <w:style w:type="paragraph" w:customStyle="1" w:styleId="ArtigoAlt4">
    <w:name w:val="Artigo (Alt+4)"/>
    <w:basedOn w:val="Normal"/>
    <w:qFormat/>
    <w:rsid w:val="009069DC"/>
    <w:pPr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0E510F"/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5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510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510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B76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FE42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4E2C-AD47-435B-A78F-08AA72B4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1146</Words>
  <Characters>6192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Nº 339, DE 2014</vt:lpstr>
    </vt:vector>
  </TitlesOfParts>
  <Company>Senado Federal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Nº 339, DE 2014</dc:title>
  <dc:subject/>
  <dc:creator>FBM</dc:creator>
  <cp:keywords/>
  <dc:description/>
  <cp:lastModifiedBy>Itamar da Silva Melchior Júnior</cp:lastModifiedBy>
  <cp:revision>2</cp:revision>
  <cp:lastPrinted>2023-07-10T15:00:00Z</cp:lastPrinted>
  <dcterms:created xsi:type="dcterms:W3CDTF">2023-07-10T15:42:00Z</dcterms:created>
  <dcterms:modified xsi:type="dcterms:W3CDTF">2023-07-10T15:42:00Z</dcterms:modified>
</cp:coreProperties>
</file>