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01" w:rsidRDefault="00052F34">
      <w:pPr>
        <w:ind w:left="3749"/>
      </w:pPr>
      <w:r>
        <w:t xml:space="preserve">ANEXO I – EMENDAS AO ANEXO DE METAS E PRIORIDADES </w:t>
      </w:r>
      <w:r w:rsidR="008B1F8B">
        <w:tab/>
      </w:r>
    </w:p>
    <w:tbl>
      <w:tblPr>
        <w:tblStyle w:val="TableGrid"/>
        <w:tblW w:w="15900" w:type="dxa"/>
        <w:tblInd w:w="-1446" w:type="dxa"/>
        <w:tblCellMar>
          <w:top w:w="10" w:type="dxa"/>
          <w:left w:w="120" w:type="dxa"/>
          <w:right w:w="69" w:type="dxa"/>
        </w:tblCellMar>
        <w:tblLook w:val="04A0" w:firstRow="1" w:lastRow="0" w:firstColumn="1" w:lastColumn="0" w:noHBand="0" w:noVBand="1"/>
      </w:tblPr>
      <w:tblGrid>
        <w:gridCol w:w="1582"/>
        <w:gridCol w:w="2408"/>
        <w:gridCol w:w="1841"/>
        <w:gridCol w:w="2407"/>
        <w:gridCol w:w="5252"/>
        <w:gridCol w:w="2410"/>
      </w:tblGrid>
      <w:tr w:rsidR="009F4CE4" w:rsidTr="009F4CE4">
        <w:trPr>
          <w:trHeight w:val="766"/>
          <w:tblHeader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CE4" w:rsidRDefault="009F4CE4" w:rsidP="00EE5293">
            <w:pPr>
              <w:ind w:left="5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EMENDA Nº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CE4" w:rsidRDefault="009F4CE4">
            <w:pPr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EMENTA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CE4" w:rsidRDefault="009F4CE4" w:rsidP="00575575">
            <w:pPr>
              <w:ind w:left="11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AUTOR(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</w:rPr>
              <w:t>A)</w:t>
            </w:r>
          </w:p>
          <w:p w:rsidR="009F4CE4" w:rsidRDefault="009F4CE4" w:rsidP="00575575">
            <w:pPr>
              <w:ind w:left="11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Senador(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</w:rPr>
              <w:t>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F4CE4" w:rsidRDefault="009F4CE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9F4CE4" w:rsidRDefault="009F4CE4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PROGRAMA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F4CE4" w:rsidRDefault="009F4CE4" w:rsidP="00575575">
            <w:pPr>
              <w:ind w:left="0" w:right="51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9F4CE4" w:rsidRDefault="009F4CE4" w:rsidP="00575575">
            <w:pPr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F4CE4" w:rsidRDefault="009F4CE4" w:rsidP="00575575">
            <w:pPr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ACRÉSCIMO META</w:t>
            </w:r>
          </w:p>
        </w:tc>
      </w:tr>
      <w:tr w:rsidR="009F4CE4" w:rsidTr="009F4CE4">
        <w:trPr>
          <w:trHeight w:val="178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ind w:left="0" w:right="55" w:firstLine="0"/>
              <w:jc w:val="center"/>
              <w:rPr>
                <w:color w:val="auto"/>
              </w:rPr>
            </w:pPr>
            <w:r w:rsidRPr="00655A94">
              <w:rPr>
                <w:rFonts w:ascii="Times New Roman" w:eastAsia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prevenção,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Plínio Valério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 w:rsidRPr="009F4CE4"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15.000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Política de combate à corrupção e a lavagem de dinheiro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Plínio Valério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21BN - </w:t>
            </w:r>
            <w:r w:rsidRPr="009F4CE4">
              <w:rPr>
                <w:rFonts w:ascii="Calibri" w:eastAsiaTheme="minorEastAsia" w:hAnsi="Calibri" w:cs="Calibri"/>
                <w:sz w:val="22"/>
              </w:rPr>
              <w:t>GESTÃO DA POLÍTICA DE COMBATE À CORRUPÇÃO E À LAVAGEM DE DINHEIRO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10.000</w:t>
            </w:r>
          </w:p>
        </w:tc>
      </w:tr>
      <w:tr w:rsidR="009F4CE4" w:rsidTr="009F4CE4">
        <w:trPr>
          <w:trHeight w:val="127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Gestão da política sobre drogas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Eliziane Gama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20IE - </w:t>
            </w:r>
            <w:r w:rsidRPr="009F4CE4">
              <w:rPr>
                <w:rFonts w:ascii="Calibri" w:eastAsiaTheme="minorEastAsia" w:hAnsi="Calibri" w:cs="Calibri"/>
                <w:sz w:val="22"/>
              </w:rPr>
              <w:t>ARTICULAÇÃO DE POLÍTICA PÚBLICA SOBRE DROGAS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5.015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Enfrentamento à violência contra as mulheres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Eliziane Gama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5034 - PROTEÇÃO À VIDA, FORTALECIMENTO DA FAMÍLIA, PROMOÇÃO E DEFESA DOS DIREITOS HUMANOS PARA TODOS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218B - </w:t>
            </w:r>
            <w:r w:rsidRPr="009F4CE4">
              <w:rPr>
                <w:rFonts w:ascii="Calibri" w:eastAsiaTheme="minorEastAsia" w:hAnsi="Calibri" w:cs="Calibri"/>
                <w:sz w:val="22"/>
              </w:rPr>
              <w:t>POLÍTICAS DE IGUALDADE E ENFRENTAMENTO À VIOLÊNCIA CONTRA AS MULHERES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5.671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Aprimoramento da infraestrutura da Polícia Federal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Eliziane Gama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15F9 - </w:t>
            </w:r>
            <w:r w:rsidRPr="009F4CE4">
              <w:rPr>
                <w:rFonts w:ascii="Calibri" w:eastAsiaTheme="minorEastAsia" w:hAnsi="Calibri" w:cs="Calibri"/>
                <w:sz w:val="22"/>
              </w:rPr>
              <w:t>APRIMORAMENTO DA INFRAESTRUTURA DA POLÍCIA FEDERA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prevenção,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Nelsinho Trad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 w:rsidRPr="009F4CE4"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Implantação do sistema integrado de monitoramento de fronteiras - SISFRON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Nelsinho Trad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6012 -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14T5 - </w:t>
            </w:r>
            <w:r w:rsidRPr="009F4CE4">
              <w:rPr>
                <w:rFonts w:ascii="Calibri" w:eastAsiaTheme="minorEastAsia" w:hAnsi="Calibri" w:cs="Calibri"/>
                <w:sz w:val="22"/>
              </w:rPr>
              <w:t>IMPLANTAÇÃO DO SISTEMA INTEGRADO DE MONITORAMENTO DE FRONTEIRAS - SISFRON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 w:rsidRPr="008B1F8B">
              <w:rPr>
                <w:rFonts w:ascii="Calibri" w:eastAsiaTheme="minorEastAsia" w:hAnsi="Calibri" w:cs="Calibri"/>
                <w:color w:val="auto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Redução do impacto social do álcool e outras drogas: prevenção, cuidado e reinserção social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Nelsinho Trad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5032 - REDE DE SUPORTE SOCIAL AO DEPENDENTE QUÍMICO: CUIDADOS, PREVENÇÃO E REINSERÇÃO SOCIAL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20R9 - </w:t>
            </w:r>
            <w:r w:rsidRPr="009F4CE4">
              <w:rPr>
                <w:rFonts w:ascii="Calibri" w:eastAsiaTheme="minorEastAsia" w:hAnsi="Calibri" w:cs="Calibri"/>
                <w:sz w:val="22"/>
              </w:rPr>
              <w:t>REDUÇÃO DA DEMANDA POR DROGAS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modernização e aparelhamento dos órgãos de segurança pública.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Omar Aziz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</w:t>
            </w:r>
            <w:bookmarkStart w:id="0" w:name="_GoBack"/>
            <w:bookmarkEnd w:id="0"/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 w:rsidRPr="009F4CE4"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SISFRON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Omar Aziz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6012 -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14T5 - </w:t>
            </w:r>
            <w:r w:rsidRPr="009F4CE4">
              <w:rPr>
                <w:rFonts w:ascii="Calibri" w:eastAsiaTheme="minorEastAsia" w:hAnsi="Calibri" w:cs="Calibri"/>
                <w:sz w:val="22"/>
              </w:rPr>
              <w:t>IMPLANTAÇÃO DO SISTEMA INTEGRADO DE MONITORAMENTO DE FRONTEIRAS - SISFRON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Políticas de igualdade e enfrentamento à violência contra as mulheres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5034 - PROTEÇÃO À VIDA, FORTALECIMENTO DA FAMÍLIA, PROMOÇÃO E DEFESA DOS DIREITOS HUMANOS PARA TODOS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218B - </w:t>
            </w:r>
            <w:r>
              <w:rPr>
                <w:rFonts w:ascii="Calibri" w:hAnsi="Calibri" w:cs="Calibri"/>
                <w:sz w:val="22"/>
              </w:rPr>
              <w:t>POLÍTICAS DE IGUALDADE E ENFRENTAMENTO À VIOLÊNCIA CONTRA AS MULHERES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Policiamento, fiscalização, combate à criminalidade e corrupção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2723 - </w:t>
            </w:r>
            <w:r>
              <w:rPr>
                <w:rFonts w:ascii="Calibri" w:hAnsi="Calibri" w:cs="Calibri"/>
                <w:sz w:val="22"/>
              </w:rPr>
              <w:t>POLICIAMENTO, FISCALIZAÇÃO, COMBATE À CRIMINALIDADE E CORRUPÇÃO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>
              <w:rPr>
                <w:rFonts w:ascii="Calibri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Construção de unidades operacionais e administrativas da PRF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154T - </w:t>
            </w:r>
            <w:r>
              <w:rPr>
                <w:rFonts w:ascii="Calibri" w:hAnsi="Calibri" w:cs="Calibri"/>
                <w:sz w:val="22"/>
              </w:rPr>
              <w:t>CONSTRUÇÃO DE UNIDADES OPERACIONAIS E ADMINISTRATIVAS DA PRF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Gestão da política de combate à corrupção e à lavagem de dinheiro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21BN - </w:t>
            </w:r>
            <w:r>
              <w:rPr>
                <w:rFonts w:ascii="Calibri" w:hAnsi="Calibri" w:cs="Calibri"/>
                <w:sz w:val="22"/>
              </w:rPr>
              <w:t xml:space="preserve">GESTÃO DA POLÍTICA DE COMBATE À CORRUPÇÃO E À LAVAGEM DE DINHEIRO - 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Aprimoramento da infraestrutura da Polícia Federal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15F9 - </w:t>
            </w:r>
            <w:r>
              <w:rPr>
                <w:rFonts w:ascii="Calibri" w:hAnsi="Calibri" w:cs="Calibri"/>
                <w:sz w:val="22"/>
              </w:rPr>
              <w:t>APRIMORAMENTO DA INFRAESTRUTURA DA POLÍCIA FEDERAL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Implantação do sistema integrado de monitoramento de fronteiras - SISFRON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6012 -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14T5 - </w:t>
            </w:r>
            <w:r>
              <w:rPr>
                <w:rFonts w:ascii="Calibri" w:hAnsi="Calibri" w:cs="Calibri"/>
                <w:sz w:val="22"/>
              </w:rPr>
              <w:t>IMPLANTAÇÃO DO SISTEMA INTEGRADO DE MONITORAMENTO DE FRONTEIRAS - SISFRON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Prevenção e repressão ao tráfico ilícito de drogas e a crimes praticados contra bens, serviços e interesses da união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Simone Tebet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2726 - </w:t>
            </w:r>
            <w:r>
              <w:rPr>
                <w:rFonts w:ascii="Calibri" w:hAnsi="Calibri" w:cs="Calibri"/>
                <w:sz w:val="22"/>
              </w:rPr>
              <w:t>PREVENÇÃO E REPRESSÃO AO TRÁFICO ILÍCITO DE DROGAS E A CRIMES PRATICADOS CONTRA BENS, SERVIÇOS E INTERESSES DA UNIÃO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Segurança pública, combate à corrupção, ao crime organizado e ao crime violento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Wellington Fagundes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>
              <w:rPr>
                <w:rFonts w:ascii="Calibri" w:hAnsi="Calibri" w:cs="Calibri"/>
                <w:sz w:val="22"/>
              </w:rPr>
              <w:t>DESENVOLVIMENTO DE POLÍTICAS DE SEGURANÇA PÚBLICA, PREVENÇÃO E ENFRENTAMENTO À CRIMINALIDADE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200.000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Soraya Thronicke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>
              <w:rPr>
                <w:rFonts w:ascii="Calibri" w:hAnsi="Calibri" w:cs="Calibri"/>
                <w:sz w:val="22"/>
              </w:rPr>
              <w:t>DESENVOLVIMENTO DE POLÍTICAS DE SEGURANÇA PÚBLICA, PREVENÇÃO E ENFRENTAMENTO À CRIMINALIDADE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500.000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21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Implantação do Sistema Integrado de Monitoramento de Fronteiras – SISFRON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Soraya Thronicke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6012 - DEFESA NACIONAL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14T5 - </w:t>
            </w:r>
            <w:r>
              <w:rPr>
                <w:rFonts w:ascii="Calibri" w:hAnsi="Calibri" w:cs="Calibri"/>
                <w:sz w:val="22"/>
              </w:rPr>
              <w:t xml:space="preserve">IMPLANTAÇÃO DO SISTEMA INTEGRADO DE MONITORAMENTO DE FRONTEIRAS - SISFRON 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Segurança pública, combate à corrupção, ao crime organizado e ao crime violento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Soraya Thronicke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2723 - </w:t>
            </w:r>
            <w:r>
              <w:rPr>
                <w:rFonts w:ascii="Calibri" w:hAnsi="Calibri" w:cs="Calibri"/>
                <w:sz w:val="22"/>
              </w:rPr>
              <w:t xml:space="preserve">POLICIAMENTO, FISCALIZAÇÃO, COMBATE À CRIMINALIDADE E CORRUPÇÃO 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10.000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Elmano Férrer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BCA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21BM</w:t>
            </w:r>
            <w:r w:rsidR="00A11BCA">
              <w:rPr>
                <w:rFonts w:ascii="Calibri" w:eastAsiaTheme="minorEastAsia" w:hAnsi="Calibri" w:cs="Calibri"/>
                <w:sz w:val="22"/>
              </w:rPr>
              <w:t xml:space="preserve"> - </w:t>
            </w:r>
            <w:r w:rsidR="00A11BCA">
              <w:rPr>
                <w:rFonts w:ascii="Calibri" w:hAnsi="Calibri" w:cs="Calibri"/>
                <w:sz w:val="22"/>
              </w:rPr>
              <w:t>DESENVOLVIMENTO DE POLÍTICAS DE SEGURANÇA PÚBLICA, PREVENÇÃO E ENFRENTAMENTO À CRIMINALIDADE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80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A11BCA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Política Nacional de Justiça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Elmano Férrer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5015 - JUSTIÇA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BCA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20I7</w:t>
            </w:r>
            <w:r w:rsidR="00A11BCA">
              <w:rPr>
                <w:rFonts w:ascii="Calibri" w:eastAsiaTheme="minorEastAsia" w:hAnsi="Calibri" w:cs="Calibri"/>
                <w:sz w:val="22"/>
              </w:rPr>
              <w:t xml:space="preserve"> - </w:t>
            </w:r>
            <w:r w:rsidR="00A11BCA">
              <w:rPr>
                <w:rFonts w:ascii="Calibri" w:hAnsi="Calibri" w:cs="Calibri"/>
                <w:sz w:val="22"/>
              </w:rPr>
              <w:t>PROMOÇÃO DA POLÍTICA NACIONAL DE JUSTIÇA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A11BCA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Aprimoramento da infraestrutura da Polícia Rodoviária Federal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Elmano Férrer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BCA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154T</w:t>
            </w:r>
            <w:r w:rsidR="00A11BCA">
              <w:rPr>
                <w:rFonts w:ascii="Calibri" w:eastAsiaTheme="minorEastAsia" w:hAnsi="Calibri" w:cs="Calibri"/>
                <w:sz w:val="22"/>
              </w:rPr>
              <w:t xml:space="preserve"> - </w:t>
            </w:r>
            <w:r w:rsidR="00A11BCA">
              <w:rPr>
                <w:rFonts w:ascii="Calibri" w:hAnsi="Calibri" w:cs="Calibri"/>
                <w:sz w:val="22"/>
              </w:rPr>
              <w:t xml:space="preserve">CONSTRUÇÃO DE UNIDADES OPERACIONAIS E ADMINISTRATIVAS DA PRF 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A11BCA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Aprimoramento da infraestrutura da Polícia Rodoviária Federal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Lasier Martins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A11BCA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154T - </w:t>
            </w:r>
            <w:r w:rsidRPr="00A11BCA">
              <w:rPr>
                <w:rFonts w:ascii="Calibri" w:hAnsi="Calibri" w:cs="Calibri"/>
                <w:sz w:val="22"/>
              </w:rPr>
              <w:t>CONSTRUÇÃO DE UNIDADES OPERACIONAIS E ADMINISTRATIVAS DA PR</w:t>
            </w:r>
            <w:r>
              <w:rPr>
                <w:rFonts w:ascii="Calibri" w:hAnsi="Calibri" w:cs="Calibri"/>
                <w:sz w:val="22"/>
              </w:rPr>
              <w:t>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Desenvolvimento de políticas de segurança pública, prevenção e enfrentamento à criminalidade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Lasier Martins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BCA" w:rsidRDefault="00A11BCA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21BM - </w:t>
            </w:r>
            <w:r>
              <w:rPr>
                <w:rFonts w:ascii="Calibri" w:hAnsi="Calibri" w:cs="Calibri"/>
                <w:sz w:val="22"/>
              </w:rPr>
              <w:t>DESENVOLVIMENTO DE POLÍTICAS DE SEGURANÇA PÚBLICA, PREVENÇÃO E ENFRENTAMENTO À CRIMINALIDADE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500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t>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Política Nacional de Justiça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Lasier Martins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5015 - JUSTIÇA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A11BCA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20I7 - </w:t>
            </w:r>
            <w:r>
              <w:rPr>
                <w:rFonts w:ascii="Calibri" w:hAnsi="Calibri" w:cs="Calibri"/>
                <w:sz w:val="22"/>
              </w:rPr>
              <w:t>PROMOÇÃO DA POLÍTICA NACIONAL DE JUSTIÇA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  <w:tr w:rsidR="009F4CE4" w:rsidTr="009F4CE4">
        <w:trPr>
          <w:trHeight w:val="152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C56BA6" w:rsidRDefault="009F4CE4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56BA6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Aprimoramento da infraestrutura da Polícia Rodoviária Federal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Wellington Fagundes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Pr="00655A94" w:rsidRDefault="009F4CE4" w:rsidP="00B26A5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color w:val="auto"/>
                <w:sz w:val="22"/>
              </w:rPr>
            </w:pPr>
            <w:r w:rsidRPr="00655A94">
              <w:rPr>
                <w:rFonts w:ascii="Calibri" w:eastAsiaTheme="minorEastAsia" w:hAnsi="Calibri" w:cs="Calibri"/>
                <w:color w:val="auto"/>
                <w:sz w:val="22"/>
              </w:rPr>
              <w:t>5016 - SEGURANÇA PÚBLICA, COMBATE À CORRUPÇÃO, AO CRIME ORGANIZADO E AO CRIME VIOLENTO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 xml:space="preserve">154T - </w:t>
            </w:r>
            <w:r>
              <w:rPr>
                <w:rFonts w:ascii="Calibri" w:hAnsi="Calibri" w:cs="Calibri"/>
                <w:sz w:val="22"/>
              </w:rPr>
              <w:t>CONSTRUÇÃO DE UNIDADES OPERACIONAIS E ADMINISTRATIVAS DA PRF</w:t>
            </w:r>
          </w:p>
          <w:p w:rsidR="009F4CE4" w:rsidRDefault="009F4CE4" w:rsidP="002B6F5E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CE4" w:rsidRDefault="009F4CE4" w:rsidP="00B26A5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100</w:t>
            </w:r>
          </w:p>
        </w:tc>
      </w:tr>
    </w:tbl>
    <w:p w:rsidR="000A4F01" w:rsidRDefault="000A4F01">
      <w:pPr>
        <w:ind w:left="-1952" w:right="12691" w:firstLine="0"/>
      </w:pPr>
    </w:p>
    <w:p w:rsidR="00C56BA6" w:rsidRDefault="00052F34">
      <w:pPr>
        <w:spacing w:line="228" w:lineRule="auto"/>
        <w:ind w:left="0" w:right="3427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6BA6" w:rsidRDefault="00C56BA6">
      <w:pPr>
        <w:spacing w:after="160"/>
        <w:ind w:left="0" w:firstLine="0"/>
        <w:rPr>
          <w:rFonts w:ascii="Times New Roman" w:eastAsia="Times New Roman" w:hAnsi="Times New Roman" w:cs="Times New Roman"/>
          <w:sz w:val="28"/>
        </w:rPr>
      </w:pPr>
    </w:p>
    <w:p w:rsidR="00C56BA6" w:rsidRDefault="00C56BA6">
      <w:pPr>
        <w:spacing w:after="160"/>
        <w:ind w:left="0" w:firstLine="0"/>
      </w:pPr>
      <w:r>
        <w:br w:type="page"/>
      </w:r>
    </w:p>
    <w:p w:rsidR="00C56BA6" w:rsidRDefault="00C56BA6" w:rsidP="00C56BA6">
      <w:pPr>
        <w:ind w:left="3749"/>
        <w:rPr>
          <w:rFonts w:ascii="Times New Roman" w:eastAsia="Times New Roman" w:hAnsi="Times New Roman" w:cs="Times New Roman"/>
          <w:sz w:val="28"/>
        </w:rPr>
      </w:pPr>
      <w:r>
        <w:lastRenderedPageBreak/>
        <w:t>ANEXO II – EMENDAS AO TEXTO DA LEI</w:t>
      </w:r>
    </w:p>
    <w:tbl>
      <w:tblPr>
        <w:tblStyle w:val="TableGrid"/>
        <w:tblW w:w="15900" w:type="dxa"/>
        <w:tblInd w:w="-1446" w:type="dxa"/>
        <w:tblCellMar>
          <w:top w:w="10" w:type="dxa"/>
          <w:left w:w="120" w:type="dxa"/>
          <w:right w:w="69" w:type="dxa"/>
        </w:tblCellMar>
        <w:tblLook w:val="04A0" w:firstRow="1" w:lastRow="0" w:firstColumn="1" w:lastColumn="0" w:noHBand="0" w:noVBand="1"/>
      </w:tblPr>
      <w:tblGrid>
        <w:gridCol w:w="1583"/>
        <w:gridCol w:w="6521"/>
        <w:gridCol w:w="2551"/>
        <w:gridCol w:w="2268"/>
        <w:gridCol w:w="2977"/>
      </w:tblGrid>
      <w:tr w:rsidR="00E62F10" w:rsidTr="00E62F10">
        <w:trPr>
          <w:trHeight w:val="766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62F10" w:rsidRDefault="00E62F10" w:rsidP="00513C20">
            <w:pPr>
              <w:ind w:left="5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EMENDA Nº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62F10" w:rsidRDefault="00E62F10" w:rsidP="00513C20">
            <w:pPr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EMENTA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E2487" w:rsidRDefault="002E2487" w:rsidP="002E2487">
            <w:pPr>
              <w:ind w:left="11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AUTOR(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</w:rPr>
              <w:t>A)</w:t>
            </w:r>
          </w:p>
          <w:p w:rsidR="00E62F10" w:rsidRDefault="002E2487" w:rsidP="002E2487">
            <w:pPr>
              <w:ind w:left="11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Senador(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62F10" w:rsidRDefault="00E62F10" w:rsidP="00513C2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62F10" w:rsidRDefault="00E62F10" w:rsidP="00513C20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TIPO DA EMENDA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62F10" w:rsidRDefault="00E62F10" w:rsidP="00E62F1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62F10" w:rsidRDefault="00E62F10" w:rsidP="00E62F10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REFERÊNCIA</w:t>
            </w:r>
          </w:p>
        </w:tc>
      </w:tr>
      <w:tr w:rsidR="00E62F10" w:rsidTr="00B26A5D">
        <w:trPr>
          <w:trHeight w:val="17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E62F10" w:rsidRDefault="00E62F10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E62F10">
              <w:rPr>
                <w:rFonts w:ascii="Times New Roman" w:eastAsia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Default="00E62F10" w:rsidP="00513C20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E62F10">
              <w:rPr>
                <w:rFonts w:ascii="Calibri" w:eastAsiaTheme="minorEastAsia" w:hAnsi="Calibri" w:cs="Calibri"/>
                <w:sz w:val="22"/>
              </w:rPr>
              <w:t>Casa da Mulher Brasileira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B26A5D" w:rsidRDefault="00E62F10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Eliziane Gama</w:t>
            </w:r>
          </w:p>
          <w:p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Corpo da Lei, </w:t>
            </w:r>
            <w:proofErr w:type="spellStart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II, </w:t>
            </w:r>
            <w:proofErr w:type="spellStart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Art</w:t>
            </w:r>
            <w:proofErr w:type="spellEnd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4</w:t>
            </w:r>
          </w:p>
        </w:tc>
      </w:tr>
      <w:tr w:rsidR="00E62F10" w:rsidTr="00B26A5D">
        <w:trPr>
          <w:trHeight w:val="1465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C56BA6" w:rsidRDefault="00E62F10" w:rsidP="00513C20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Default="00E62F10" w:rsidP="00513C20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>
              <w:rPr>
                <w:rFonts w:ascii="Calibri" w:eastAsiaTheme="minorEastAsia" w:hAnsi="Calibri" w:cs="Calibri"/>
                <w:sz w:val="22"/>
              </w:rPr>
              <w:t>A</w:t>
            </w:r>
            <w:r w:rsidRPr="00E62F10">
              <w:rPr>
                <w:rFonts w:ascii="Calibri" w:eastAsiaTheme="minorEastAsia" w:hAnsi="Calibri" w:cs="Calibri"/>
                <w:sz w:val="22"/>
              </w:rPr>
              <w:t>ções de enfrentamento à violência contra a mulher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B26A5D" w:rsidRDefault="00E62F10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Eliziane Gama</w:t>
            </w:r>
          </w:p>
          <w:p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10" w:rsidRPr="00B26A5D" w:rsidRDefault="00E62F10" w:rsidP="00B26A5D">
            <w:pPr>
              <w:autoSpaceDE w:val="0"/>
              <w:autoSpaceDN w:val="0"/>
              <w:adjustRightInd w:val="0"/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Corpo da Lei, </w:t>
            </w:r>
            <w:proofErr w:type="spellStart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II, </w:t>
            </w:r>
            <w:proofErr w:type="spellStart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Art</w:t>
            </w:r>
            <w:proofErr w:type="spellEnd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4</w:t>
            </w:r>
          </w:p>
        </w:tc>
      </w:tr>
      <w:tr w:rsidR="00B26A5D" w:rsidTr="00B26A5D">
        <w:trPr>
          <w:trHeight w:val="140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FF0000"/>
                <w:sz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color w:val="FF0000"/>
                <w:sz w:val="22"/>
              </w:rPr>
            </w:pPr>
            <w:r w:rsidRPr="00B26A5D">
              <w:rPr>
                <w:rFonts w:ascii="Calibri" w:eastAsiaTheme="minorEastAsia" w:hAnsi="Calibri" w:cs="Calibri"/>
                <w:color w:val="FF0000"/>
                <w:sz w:val="22"/>
              </w:rPr>
              <w:t>Aeronáutica - DESPESAS RESSALVADAS - Inclua-se no Anexo III do PLN 5, de 2022, a Seção III, juntamente com as respectivas ações a serem ressalvadas, os Projetos Prioritários das Forças Armadas por serem de fundamental importância para o desenvolvimento e dotação delas com equipamentos e meios militares avançados</w:t>
            </w:r>
            <w:r w:rsidR="002E2487">
              <w:rPr>
                <w:rFonts w:ascii="Calibri" w:eastAsiaTheme="minorEastAsia" w:hAnsi="Calibri" w:cs="Calibri"/>
                <w:color w:val="FF0000"/>
                <w:sz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Wellington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Anexo III</w:t>
            </w:r>
          </w:p>
        </w:tc>
      </w:tr>
      <w:tr w:rsidR="00B26A5D" w:rsidTr="00B26A5D">
        <w:trPr>
          <w:trHeight w:val="1529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C56BA6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Default="00B26A5D" w:rsidP="00B26A5D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B26A5D">
              <w:rPr>
                <w:rFonts w:ascii="Calibri" w:eastAsiaTheme="minorEastAsia" w:hAnsi="Calibri" w:cs="Calibri"/>
                <w:sz w:val="22"/>
              </w:rPr>
              <w:t>Aeronáutica - DESPESAS RESSALVADAS - Inclua-se no Anexo III do PLN 5, de 2022, a Seção III, juntamente com as respectivas ações a serem ressalvadas, os Projetos Prioritários das Forças Armadas por serem de fundamental importância para o desenvolvimento e dotação delas com equipamen</w:t>
            </w:r>
            <w:r w:rsidR="002E2487">
              <w:rPr>
                <w:rFonts w:ascii="Calibri" w:eastAsiaTheme="minorEastAsia" w:hAnsi="Calibri" w:cs="Calibri"/>
                <w:sz w:val="22"/>
              </w:rPr>
              <w:t>tos e meios militares avançados.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Wellington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Anexo III</w:t>
            </w:r>
          </w:p>
        </w:tc>
      </w:tr>
      <w:tr w:rsidR="00B26A5D" w:rsidTr="00B26A5D">
        <w:trPr>
          <w:trHeight w:val="1529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C56BA6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Default="00B26A5D" w:rsidP="00B26A5D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B26A5D">
              <w:rPr>
                <w:rFonts w:ascii="Calibri" w:eastAsiaTheme="minorEastAsia" w:hAnsi="Calibri" w:cs="Calibri"/>
                <w:sz w:val="22"/>
              </w:rPr>
              <w:t>Marinha do Brasil - DESPESAS OBRIGATÓRIAS - Inclua-se o inciso - Despesas relacionadas ao Ensino Profissional Marítimo no Anexo III do PLN 5, de 2022, a Seção I, juntamente com as demais ações já existentes que não serão objeto de limitação de empenho, nos termos do art. 9º, §2º da LRF, por constituírem obrigações con</w:t>
            </w:r>
            <w:r w:rsidR="002E2487">
              <w:rPr>
                <w:rFonts w:ascii="Calibri" w:eastAsiaTheme="minorEastAsia" w:hAnsi="Calibri" w:cs="Calibri"/>
                <w:sz w:val="22"/>
              </w:rPr>
              <w:t>stitucionais ou legais da União.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Wellington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Aditiva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Anexo III, Seção I, Inciso LXVIII</w:t>
            </w:r>
          </w:p>
        </w:tc>
      </w:tr>
      <w:tr w:rsidR="00B26A5D" w:rsidTr="00B26A5D">
        <w:trPr>
          <w:trHeight w:val="1529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C56BA6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Default="00B26A5D" w:rsidP="00B26A5D">
            <w:pPr>
              <w:autoSpaceDE w:val="0"/>
              <w:autoSpaceDN w:val="0"/>
              <w:adjustRightInd w:val="0"/>
              <w:ind w:left="0" w:firstLine="0"/>
              <w:rPr>
                <w:rFonts w:ascii="Calibri" w:eastAsiaTheme="minorEastAsia" w:hAnsi="Calibri" w:cs="Calibri"/>
                <w:sz w:val="22"/>
              </w:rPr>
            </w:pPr>
            <w:r w:rsidRPr="00B26A5D">
              <w:rPr>
                <w:rFonts w:ascii="Calibri" w:eastAsiaTheme="minorEastAsia" w:hAnsi="Calibri" w:cs="Calibri"/>
                <w:sz w:val="22"/>
              </w:rPr>
              <w:t>Marinha do Brasil - CAPITALIZAÇÃO - A presente proposta tem por objetivo possibilitar às empresas públicas, vinculadas ao Setor Estratégico de Defesa, receberem eventuais aportes para investimento na consecução de Programas que contribuirão para o atingimento de Políticas Públicas, sem a obrigação de estarem incluídas no Prog</w:t>
            </w:r>
            <w:r w:rsidR="002E2487">
              <w:rPr>
                <w:rFonts w:ascii="Calibri" w:eastAsiaTheme="minorEastAsia" w:hAnsi="Calibri" w:cs="Calibri"/>
                <w:sz w:val="22"/>
              </w:rPr>
              <w:t>rama Nacional de Desestatização.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Wellington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Modificativa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A5D" w:rsidRPr="00B26A5D" w:rsidRDefault="00B26A5D" w:rsidP="00B26A5D">
            <w:pPr>
              <w:shd w:val="clear" w:color="auto" w:fill="FFFFFF"/>
              <w:ind w:left="-225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C</w:t>
            </w:r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orpo da Lei, </w:t>
            </w:r>
            <w:proofErr w:type="spellStart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Cap</w:t>
            </w:r>
            <w:proofErr w:type="spellEnd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IV, Seção VI, </w:t>
            </w:r>
            <w:proofErr w:type="spellStart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>Art</w:t>
            </w:r>
            <w:proofErr w:type="spellEnd"/>
            <w:r w:rsidRPr="00B26A5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48</w:t>
            </w:r>
          </w:p>
          <w:p w:rsidR="00B26A5D" w:rsidRPr="00B26A5D" w:rsidRDefault="00B26A5D" w:rsidP="00B26A5D">
            <w:pPr>
              <w:ind w:left="0" w:right="5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</w:tbl>
    <w:p w:rsidR="000A4F01" w:rsidRDefault="000A4F01">
      <w:pPr>
        <w:spacing w:line="228" w:lineRule="auto"/>
        <w:ind w:left="0" w:right="3427" w:firstLine="0"/>
        <w:jc w:val="both"/>
      </w:pPr>
    </w:p>
    <w:sectPr w:rsidR="000A4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001" w:right="4147" w:bottom="1630" w:left="1952" w:header="617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96" w:rsidRDefault="00165E96">
      <w:pPr>
        <w:spacing w:line="240" w:lineRule="auto"/>
      </w:pPr>
      <w:r>
        <w:separator/>
      </w:r>
    </w:p>
  </w:endnote>
  <w:endnote w:type="continuationSeparator" w:id="0">
    <w:p w:rsidR="00165E96" w:rsidRDefault="00165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01" w:rsidRDefault="00052F34">
    <w:pPr>
      <w:ind w:left="3751" w:firstLine="0"/>
      <w:jc w:val="center"/>
    </w:pPr>
    <w:r>
      <w:rPr>
        <w:rFonts w:ascii="Times New Roman" w:eastAsia="Times New Roman" w:hAnsi="Times New Roman" w:cs="Times New Roman"/>
      </w:rPr>
      <w:t xml:space="preserve">Página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PAGE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28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0A4F01" w:rsidRDefault="00052F34">
    <w:pPr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01" w:rsidRDefault="00052F34">
    <w:pPr>
      <w:ind w:left="3751" w:firstLine="0"/>
      <w:jc w:val="center"/>
    </w:pPr>
    <w:r>
      <w:rPr>
        <w:rFonts w:ascii="Times New Roman" w:eastAsia="Times New Roman" w:hAnsi="Times New Roman" w:cs="Times New Roman"/>
      </w:rPr>
      <w:t xml:space="preserve">Página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PAGE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 w:rsidR="00AF69DB">
      <w:rPr>
        <w:rFonts w:ascii="Times New Roman" w:eastAsia="Times New Roman" w:hAnsi="Times New Roman" w:cs="Times New Roman"/>
        <w:b/>
        <w:noProof/>
      </w:rPr>
      <w:t>10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 w:rsidR="00AF69DB">
      <w:rPr>
        <w:rFonts w:ascii="Times New Roman" w:eastAsia="Times New Roman" w:hAnsi="Times New Roman" w:cs="Times New Roman"/>
        <w:b/>
        <w:noProof/>
      </w:rPr>
      <w:t>10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0A4F01" w:rsidRDefault="00052F34">
    <w:pPr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01" w:rsidRDefault="00052F34">
    <w:pPr>
      <w:ind w:left="3751" w:firstLine="0"/>
      <w:jc w:val="center"/>
    </w:pPr>
    <w:r>
      <w:rPr>
        <w:rFonts w:ascii="Times New Roman" w:eastAsia="Times New Roman" w:hAnsi="Times New Roman" w:cs="Times New Roman"/>
      </w:rPr>
      <w:t xml:space="preserve">Página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PAGE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de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28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0A4F01" w:rsidRDefault="00052F34">
    <w:pPr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96" w:rsidRDefault="00165E96">
      <w:pPr>
        <w:spacing w:line="240" w:lineRule="auto"/>
      </w:pPr>
      <w:r>
        <w:separator/>
      </w:r>
    </w:p>
  </w:footnote>
  <w:footnote w:type="continuationSeparator" w:id="0">
    <w:p w:rsidR="00165E96" w:rsidRDefault="00165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01" w:rsidRDefault="00052F34">
    <w:pPr>
      <w:ind w:left="112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:rsidR="000A4F01" w:rsidRDefault="00052F34">
    <w:pPr>
      <w:ind w:left="1123" w:firstLine="0"/>
    </w:pPr>
    <w:r>
      <w:rPr>
        <w:rFonts w:ascii="Times New Roman" w:eastAsia="Times New Roman" w:hAnsi="Times New Roman" w:cs="Times New Roman"/>
        <w:sz w:val="32"/>
      </w:rPr>
      <w:t xml:space="preserve">Comissão de Educação, Cultura e Esporte </w:t>
    </w:r>
  </w:p>
  <w:p w:rsidR="000A4F01" w:rsidRDefault="00052F34">
    <w:pPr>
      <w:ind w:left="1123" w:firstLine="0"/>
    </w:pPr>
    <w:r>
      <w:rPr>
        <w:rFonts w:ascii="Times New Roman" w:eastAsia="Times New Roman" w:hAnsi="Times New Roman" w:cs="Times New Roman"/>
        <w:i/>
      </w:rPr>
      <w:t xml:space="preserve">Emendas ao Projeto de Lei do Congresso Nacional nº 3, de 2021 – PLDO 2022 </w:t>
    </w:r>
  </w:p>
  <w:p w:rsidR="000A4F01" w:rsidRDefault="00052F34">
    <w:pPr>
      <w:ind w:left="2539" w:firstLine="0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01" w:rsidRDefault="00052F34">
    <w:pPr>
      <w:ind w:left="1123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:rsidR="000A4F01" w:rsidRDefault="00052F34">
    <w:pPr>
      <w:ind w:left="1123" w:firstLine="0"/>
    </w:pPr>
    <w:r>
      <w:rPr>
        <w:rFonts w:ascii="Times New Roman" w:eastAsia="Times New Roman" w:hAnsi="Times New Roman" w:cs="Times New Roman"/>
        <w:sz w:val="32"/>
      </w:rPr>
      <w:t xml:space="preserve">Comissão de </w:t>
    </w:r>
    <w:r w:rsidR="00EE5293">
      <w:rPr>
        <w:rFonts w:ascii="Times New Roman" w:eastAsia="Times New Roman" w:hAnsi="Times New Roman" w:cs="Times New Roman"/>
        <w:sz w:val="32"/>
      </w:rPr>
      <w:t>Segurança Pública</w:t>
    </w:r>
    <w:r>
      <w:rPr>
        <w:rFonts w:ascii="Times New Roman" w:eastAsia="Times New Roman" w:hAnsi="Times New Roman" w:cs="Times New Roman"/>
        <w:sz w:val="32"/>
      </w:rPr>
      <w:t xml:space="preserve"> </w:t>
    </w:r>
  </w:p>
  <w:p w:rsidR="000A4F01" w:rsidRDefault="00052F34">
    <w:pPr>
      <w:ind w:left="1123" w:firstLine="0"/>
    </w:pPr>
    <w:r>
      <w:rPr>
        <w:rFonts w:ascii="Times New Roman" w:eastAsia="Times New Roman" w:hAnsi="Times New Roman" w:cs="Times New Roman"/>
        <w:i/>
      </w:rPr>
      <w:t>Emendas ao Projeto de Lei do Congresso Na</w:t>
    </w:r>
    <w:r w:rsidR="00EE5293">
      <w:rPr>
        <w:rFonts w:ascii="Times New Roman" w:eastAsia="Times New Roman" w:hAnsi="Times New Roman" w:cs="Times New Roman"/>
        <w:i/>
      </w:rPr>
      <w:t>cional nº 5, de 2022 – PLDO 2023</w:t>
    </w:r>
    <w:r>
      <w:rPr>
        <w:rFonts w:ascii="Times New Roman" w:eastAsia="Times New Roman" w:hAnsi="Times New Roman" w:cs="Times New Roman"/>
        <w:i/>
      </w:rPr>
      <w:t xml:space="preserve"> </w:t>
    </w:r>
  </w:p>
  <w:p w:rsidR="000A4F01" w:rsidRDefault="00052F34">
    <w:pPr>
      <w:ind w:left="2539" w:firstLine="0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01" w:rsidRDefault="00052F34">
    <w:pPr>
      <w:ind w:left="1123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1092200</wp:posOffset>
          </wp:positionH>
          <wp:positionV relativeFrom="page">
            <wp:posOffset>391795</wp:posOffset>
          </wp:positionV>
          <wp:extent cx="745490" cy="748665"/>
          <wp:effectExtent l="0" t="0" r="0" b="0"/>
          <wp:wrapSquare wrapText="bothSides"/>
          <wp:docPr id="2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2"/>
      </w:rPr>
      <w:t xml:space="preserve">SENADO FEDERAL </w:t>
    </w:r>
  </w:p>
  <w:p w:rsidR="000A4F01" w:rsidRDefault="00052F34">
    <w:pPr>
      <w:ind w:left="1123" w:firstLine="0"/>
    </w:pPr>
    <w:r>
      <w:rPr>
        <w:rFonts w:ascii="Times New Roman" w:eastAsia="Times New Roman" w:hAnsi="Times New Roman" w:cs="Times New Roman"/>
        <w:sz w:val="32"/>
      </w:rPr>
      <w:t xml:space="preserve">Comissão de Educação, Cultura e Esporte </w:t>
    </w:r>
  </w:p>
  <w:p w:rsidR="000A4F01" w:rsidRDefault="00052F34">
    <w:pPr>
      <w:ind w:left="1123" w:firstLine="0"/>
    </w:pPr>
    <w:r>
      <w:rPr>
        <w:rFonts w:ascii="Times New Roman" w:eastAsia="Times New Roman" w:hAnsi="Times New Roman" w:cs="Times New Roman"/>
        <w:i/>
      </w:rPr>
      <w:t xml:space="preserve">Emendas ao Projeto de Lei do Congresso Nacional nº 3, de 2021 – PLDO 2022 </w:t>
    </w:r>
  </w:p>
  <w:p w:rsidR="000A4F01" w:rsidRDefault="00052F34">
    <w:pPr>
      <w:ind w:left="2539" w:firstLine="0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01"/>
    <w:rsid w:val="00052F34"/>
    <w:rsid w:val="00097FDF"/>
    <w:rsid w:val="000A4F01"/>
    <w:rsid w:val="00165E96"/>
    <w:rsid w:val="001D2AFD"/>
    <w:rsid w:val="002B6F5E"/>
    <w:rsid w:val="002E2487"/>
    <w:rsid w:val="003C6EF0"/>
    <w:rsid w:val="00555C14"/>
    <w:rsid w:val="00575575"/>
    <w:rsid w:val="00655A94"/>
    <w:rsid w:val="007C6D97"/>
    <w:rsid w:val="008120E0"/>
    <w:rsid w:val="008B1F8B"/>
    <w:rsid w:val="009F4CE4"/>
    <w:rsid w:val="00A11BCA"/>
    <w:rsid w:val="00AF69DB"/>
    <w:rsid w:val="00B05468"/>
    <w:rsid w:val="00B26A5D"/>
    <w:rsid w:val="00C56BA6"/>
    <w:rsid w:val="00DD5D48"/>
    <w:rsid w:val="00E13669"/>
    <w:rsid w:val="00E62F10"/>
    <w:rsid w:val="00EE5293"/>
    <w:rsid w:val="00E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9FE6F-DC22-4221-81ED-705F3608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3764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rm-control">
    <w:name w:val="form-control"/>
    <w:basedOn w:val="Fontepargpadro"/>
    <w:rsid w:val="00B2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887FD9040C204F87EC39845F05874E" ma:contentTypeVersion="10" ma:contentTypeDescription="Crie um novo documento." ma:contentTypeScope="" ma:versionID="7cff7283bb463ad2a226b4ff1dd88cea">
  <xsd:schema xmlns:xsd="http://www.w3.org/2001/XMLSchema" xmlns:xs="http://www.w3.org/2001/XMLSchema" xmlns:p="http://schemas.microsoft.com/office/2006/metadata/properties" xmlns:ns2="1f365bd2-feed-416b-b864-ecb210e7e521" xmlns:ns3="4ed30330-3f89-47cb-a942-d2f50e46e163" targetNamespace="http://schemas.microsoft.com/office/2006/metadata/properties" ma:root="true" ma:fieldsID="e87353f7a6551724e6864671f500a762" ns2:_="" ns3:_="">
    <xsd:import namespace="1f365bd2-feed-416b-b864-ecb210e7e521"/>
    <xsd:import namespace="4ed30330-3f89-47cb-a942-d2f50e46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bd2-feed-416b-b864-ecb210e7e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30330-3f89-47cb-a942-d2f50e46e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d0274c-5df5-4d0d-9672-1097111a6e7f}" ma:internalName="TaxCatchAll" ma:showField="CatchAllData" ma:web="4ed30330-3f89-47cb-a942-d2f50e46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bd2-feed-416b-b864-ecb210e7e521">
      <Terms xmlns="http://schemas.microsoft.com/office/infopath/2007/PartnerControls"/>
    </lcf76f155ced4ddcb4097134ff3c332f>
    <TaxCatchAll xmlns="4ed30330-3f89-47cb-a942-d2f50e46e163" xsi:nil="true"/>
  </documentManagement>
</p:properties>
</file>

<file path=customXml/itemProps1.xml><?xml version="1.0" encoding="utf-8"?>
<ds:datastoreItem xmlns:ds="http://schemas.openxmlformats.org/officeDocument/2006/customXml" ds:itemID="{90D1EB3A-4141-4C3D-A1A5-33CCB037C46A}"/>
</file>

<file path=customXml/itemProps2.xml><?xml version="1.0" encoding="utf-8"?>
<ds:datastoreItem xmlns:ds="http://schemas.openxmlformats.org/officeDocument/2006/customXml" ds:itemID="{B765AB79-7938-442F-BE63-47EE3D1ADDB6}"/>
</file>

<file path=customXml/itemProps3.xml><?xml version="1.0" encoding="utf-8"?>
<ds:datastoreItem xmlns:ds="http://schemas.openxmlformats.org/officeDocument/2006/customXml" ds:itemID="{073AEA23-A7BD-4C64-8A84-46A4CEF7B2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1421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Joao Marcos Murce Meneses</cp:lastModifiedBy>
  <cp:revision>4</cp:revision>
  <dcterms:created xsi:type="dcterms:W3CDTF">2022-06-21T22:09:00Z</dcterms:created>
  <dcterms:modified xsi:type="dcterms:W3CDTF">2022-06-22T00:01:00Z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0x010100E0887FD9040C204F87EC39845F05874E</vt:lpwstr>
  </property>
</Properties>
</file>