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A6" w:rsidRPr="0025165E" w:rsidRDefault="009B68A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8A6" w:rsidRPr="0025165E" w:rsidRDefault="009B68A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9B68A6" w:rsidRDefault="009B68A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9B68A6" w:rsidRPr="0025165E" w:rsidRDefault="009B68A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C247C9">
        <w:rPr>
          <w:rFonts w:ascii="ITC Stone Sans Std Medium" w:hAnsi="ITC Stone Sans Std Medium" w:cs="Arial"/>
          <w:noProof/>
          <w:color w:val="000000"/>
          <w:sz w:val="16"/>
          <w:szCs w:val="16"/>
        </w:rPr>
        <w:t>785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C247C9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9B68A6" w:rsidRPr="006D7BE6" w:rsidRDefault="009B68A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B68A6" w:rsidRPr="006D7BE6" w:rsidRDefault="009B68A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B68A6" w:rsidRPr="00EB719B" w:rsidRDefault="009B68A6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C247C9">
        <w:rPr>
          <w:rFonts w:ascii="ITC Stone Sans Std Medium" w:hAnsi="ITC Stone Sans Std Medium"/>
          <w:b/>
          <w:bCs/>
          <w:noProof/>
          <w:sz w:val="22"/>
          <w:szCs w:val="22"/>
        </w:rPr>
        <w:t>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C247C9">
        <w:rPr>
          <w:rFonts w:ascii="ITC Stone Sans Std Medium" w:hAnsi="ITC Stone Sans Std Medium"/>
          <w:b/>
          <w:bCs/>
          <w:noProof/>
          <w:sz w:val="22"/>
          <w:szCs w:val="22"/>
        </w:rPr>
        <w:t>785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C247C9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C247C9">
        <w:rPr>
          <w:rFonts w:ascii="ITC Stone Sans Std Medium" w:hAnsi="ITC Stone Sans Std Medium"/>
          <w:b/>
          <w:noProof/>
          <w:sz w:val="22"/>
          <w:szCs w:val="22"/>
        </w:rPr>
        <w:t>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C247C9">
        <w:rPr>
          <w:rFonts w:ascii="ITC Stone Sans Std Medium" w:hAnsi="ITC Stone Sans Std Medium"/>
          <w:b/>
          <w:noProof/>
          <w:sz w:val="22"/>
          <w:szCs w:val="22"/>
        </w:rPr>
        <w:t>ALTERA A LEI Nº 10.260, DE 12 DE JULHO DE 2001, A LEI COMPLEMENTAR NºO 129, DE 8 DE JANEIRO DE 2009, A MEDIDA PROVISÓRIA Nº 2.156-5, DE 24 DE AGOSTO DE 2001, A MEDIDA PROVISÓRIA Nº 2.157-5, DE 24 DE AGOSTO DE 2001, A LEI Nº 7.827, DE 27 DE SETEMBRO DE 1989, A LEI Nº 9.394, DE 20 DE DEZEMBRO DE 1996, A LEI Nº 8.958, DE 20 DE DEZEMBRO DE 1994,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EB719B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EB719B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EB719B">
        <w:rPr>
          <w:rFonts w:ascii="ITC Stone Sans Std Medium" w:hAnsi="ITC Stone Sans Std Medium"/>
          <w:b/>
          <w:noProof/>
          <w:color w:val="auto"/>
          <w:sz w:val="22"/>
          <w:szCs w:val="22"/>
        </w:rPr>
        <w:t>20</w:t>
      </w:r>
      <w:r w:rsidRPr="00EB719B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EB719B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EB719B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EB719B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EB719B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9B68A6" w:rsidRPr="006D7BE6" w:rsidRDefault="009B68A6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9B68A6" w:rsidRPr="006D7BE6" w:rsidRDefault="009B68A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9B68A6" w:rsidRPr="006D7BE6" w:rsidRDefault="009B68A6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CE6764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CE6764">
        <w:rPr>
          <w:rFonts w:ascii="ITC Stone Sans Std Medium" w:hAnsi="ITC Stone Sans Std Medium" w:cs="Arial"/>
          <w:sz w:val="22"/>
          <w:szCs w:val="22"/>
        </w:rPr>
        <w:t>quarenta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vinte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785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EB719B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FC1633">
        <w:rPr>
          <w:rFonts w:ascii="ITC Stone Sans Std Medium" w:hAnsi="ITC Stone Sans Std Medium" w:cs="Arial"/>
          <w:sz w:val="22"/>
          <w:szCs w:val="22"/>
        </w:rPr>
        <w:t>Dalirio Beber, Ronaldo Caiado, Fátima Bezerra, Sérgio Petecão e Pedro Chaves,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e dos Deputados </w:t>
      </w:r>
      <w:r w:rsidR="00FC1633">
        <w:rPr>
          <w:rFonts w:ascii="ITC Stone Sans Std Medium" w:hAnsi="ITC Stone Sans Std Medium" w:cs="Arial"/>
          <w:sz w:val="22"/>
          <w:szCs w:val="22"/>
        </w:rPr>
        <w:t xml:space="preserve">Celso Jacob, </w:t>
      </w:r>
      <w:proofErr w:type="spellStart"/>
      <w:r w:rsidR="00FC1633">
        <w:rPr>
          <w:rFonts w:ascii="ITC Stone Sans Std Medium" w:hAnsi="ITC Stone Sans Std Medium" w:cs="Arial"/>
          <w:sz w:val="22"/>
          <w:szCs w:val="22"/>
        </w:rPr>
        <w:t>Moses</w:t>
      </w:r>
      <w:proofErr w:type="spellEnd"/>
      <w:r w:rsidR="00FC1633">
        <w:rPr>
          <w:rFonts w:ascii="ITC Stone Sans Std Medium" w:hAnsi="ITC Stone Sans Std Medium" w:cs="Arial"/>
          <w:sz w:val="22"/>
          <w:szCs w:val="22"/>
        </w:rPr>
        <w:t xml:space="preserve"> Rodrigues, Josi Nunes, Leonardo Quintão, João Paulo </w:t>
      </w:r>
      <w:proofErr w:type="spellStart"/>
      <w:r w:rsidR="00FC1633">
        <w:rPr>
          <w:rFonts w:ascii="ITC Stone Sans Std Medium" w:hAnsi="ITC Stone Sans Std Medium" w:cs="Arial"/>
          <w:sz w:val="22"/>
          <w:szCs w:val="22"/>
        </w:rPr>
        <w:t>Kleinübing</w:t>
      </w:r>
      <w:proofErr w:type="spellEnd"/>
      <w:r w:rsidR="00FC1633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FC1633">
        <w:rPr>
          <w:rFonts w:ascii="ITC Stone Sans Std Medium" w:hAnsi="ITC Stone Sans Std Medium" w:cs="Arial"/>
          <w:sz w:val="22"/>
          <w:szCs w:val="22"/>
        </w:rPr>
        <w:t>Átila</w:t>
      </w:r>
      <w:proofErr w:type="spellEnd"/>
      <w:r w:rsidR="00FC1633">
        <w:rPr>
          <w:rFonts w:ascii="ITC Stone Sans Std Medium" w:hAnsi="ITC Stone Sans Std Medium" w:cs="Arial"/>
          <w:sz w:val="22"/>
          <w:szCs w:val="22"/>
        </w:rPr>
        <w:t xml:space="preserve"> Lira, Alex </w:t>
      </w:r>
      <w:proofErr w:type="spellStart"/>
      <w:r w:rsidR="00FC1633">
        <w:rPr>
          <w:rFonts w:ascii="ITC Stone Sans Std Medium" w:hAnsi="ITC Stone Sans Std Medium" w:cs="Arial"/>
          <w:sz w:val="22"/>
          <w:szCs w:val="22"/>
        </w:rPr>
        <w:t>Canziani</w:t>
      </w:r>
      <w:proofErr w:type="spellEnd"/>
      <w:r w:rsidR="00FC1633">
        <w:rPr>
          <w:rFonts w:ascii="ITC Stone Sans Std Medium" w:hAnsi="ITC Stone Sans Std Medium" w:cs="Arial"/>
          <w:sz w:val="22"/>
          <w:szCs w:val="22"/>
        </w:rPr>
        <w:t xml:space="preserve"> e </w:t>
      </w:r>
      <w:proofErr w:type="spellStart"/>
      <w:r w:rsidR="00FC1633">
        <w:rPr>
          <w:rFonts w:ascii="ITC Stone Sans Std Medium" w:hAnsi="ITC Stone Sans Std Medium" w:cs="Arial"/>
          <w:sz w:val="22"/>
          <w:szCs w:val="22"/>
        </w:rPr>
        <w:t>Pollyana</w:t>
      </w:r>
      <w:proofErr w:type="spellEnd"/>
      <w:r w:rsidR="00FC1633">
        <w:rPr>
          <w:rFonts w:ascii="ITC Stone Sans Std Medium" w:hAnsi="ITC Stone Sans Std Medium" w:cs="Arial"/>
          <w:sz w:val="22"/>
          <w:szCs w:val="22"/>
        </w:rPr>
        <w:t xml:space="preserve"> Gama. R</w:t>
      </w:r>
      <w:r w:rsidRPr="006D7BE6">
        <w:rPr>
          <w:rFonts w:ascii="ITC Stone Sans Std Medium" w:hAnsi="ITC Stone Sans Std Medium" w:cs="Arial"/>
          <w:sz w:val="22"/>
          <w:szCs w:val="22"/>
        </w:rPr>
        <w:t>egistra-se a presença de parlamentar</w:t>
      </w:r>
      <w:r w:rsidR="001E3509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1E3509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</w:t>
      </w:r>
      <w:r w:rsidR="001E3509">
        <w:rPr>
          <w:rFonts w:ascii="ITC Stone Sans Std Medium" w:hAnsi="ITC Stone Sans Std Medium" w:cs="Arial"/>
          <w:sz w:val="22"/>
          <w:szCs w:val="22"/>
        </w:rPr>
        <w:t>: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C1633" w:rsidRPr="00FC1633">
        <w:rPr>
          <w:rFonts w:ascii="ITC Stone Sans Std Medium" w:hAnsi="ITC Stone Sans Std Medium" w:cs="Arial"/>
          <w:sz w:val="22"/>
          <w:szCs w:val="22"/>
        </w:rPr>
        <w:t>Wellington Fagundes, Valdir Raupp, Ataídes Oliveira, Hélio José, Paulo Rocha, Paulo Paim, José Pimentel, Dário Berger, Cidinho Santos, José Medeiros, Pedro Fernandes, Mário Negromonte Jr., Cleber Verde.</w:t>
      </w:r>
      <w:r w:rsidR="001E350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Felipe Sartori </w:t>
      </w:r>
      <w:proofErr w:type="spellStart"/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>Sigollo</w:t>
      </w:r>
      <w:proofErr w:type="spellEnd"/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 - Secretário Executivo Adjunto do Ministério da Educação;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97680">
        <w:rPr>
          <w:rFonts w:ascii="ITC Stone Sans Std Medium" w:hAnsi="ITC Stone Sans Std Medium" w:cs="Arial"/>
          <w:color w:val="000000"/>
          <w:sz w:val="22"/>
          <w:szCs w:val="22"/>
        </w:rPr>
        <w:t>Alexandre Manoel Ângelo d</w:t>
      </w:r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>a Silva - Subsecretário de Governança Fiscal e Regulação de Loteria do Ministério da Fazenda;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C023D1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Paulo Roberto </w:t>
      </w:r>
      <w:proofErr w:type="spellStart"/>
      <w:r w:rsidR="00C023D1" w:rsidRPr="00597680">
        <w:rPr>
          <w:rFonts w:ascii="ITC Stone Sans Std Medium" w:hAnsi="ITC Stone Sans Std Medium" w:cs="Arial"/>
          <w:color w:val="000000"/>
          <w:sz w:val="22"/>
          <w:szCs w:val="22"/>
        </w:rPr>
        <w:t>Corbucci</w:t>
      </w:r>
      <w:proofErr w:type="spellEnd"/>
      <w:r w:rsidR="00C023D1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 - Coordenador de Estudos e Pesquisa em Educação da Diretoria de Estu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 xml:space="preserve">dos e Políticas Sociais do IPEA; </w:t>
      </w:r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Pedro Antonio </w:t>
      </w:r>
      <w:proofErr w:type="spellStart"/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>Estrella</w:t>
      </w:r>
      <w:proofErr w:type="spellEnd"/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 Pedro</w:t>
      </w:r>
      <w:r w:rsidR="00597680">
        <w:rPr>
          <w:rFonts w:ascii="ITC Stone Sans Std Medium" w:hAnsi="ITC Stone Sans Std Medium" w:cs="Arial"/>
          <w:color w:val="000000"/>
          <w:sz w:val="22"/>
          <w:szCs w:val="22"/>
        </w:rPr>
        <w:t>sa</w:t>
      </w:r>
      <w:r w:rsidR="00597680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 - Diretor de Gestão de Fundos e Benefícios do FNDE;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r w:rsidR="001E533E" w:rsidRPr="00597680">
        <w:rPr>
          <w:rFonts w:ascii="ITC Stone Sans Std Medium" w:hAnsi="ITC Stone Sans Std Medium" w:cs="Arial"/>
          <w:color w:val="000000"/>
          <w:sz w:val="22"/>
          <w:szCs w:val="22"/>
        </w:rPr>
        <w:t xml:space="preserve">Arnaldo Barbosa </w:t>
      </w:r>
      <w:r w:rsidR="001E533E">
        <w:rPr>
          <w:rFonts w:ascii="ITC Stone Sans Std Medium" w:hAnsi="ITC Stone Sans Std Medium" w:cs="Arial"/>
          <w:color w:val="000000"/>
          <w:sz w:val="22"/>
          <w:szCs w:val="22"/>
        </w:rPr>
        <w:t>d</w:t>
      </w:r>
      <w:r w:rsidR="001E533E" w:rsidRPr="00597680">
        <w:rPr>
          <w:rFonts w:ascii="ITC Stone Sans Std Medium" w:hAnsi="ITC Stone Sans Std Medium" w:cs="Arial"/>
          <w:color w:val="000000"/>
          <w:sz w:val="22"/>
          <w:szCs w:val="22"/>
        </w:rPr>
        <w:t>e Lima Jun</w:t>
      </w:r>
      <w:r w:rsidR="002D7F15">
        <w:rPr>
          <w:rFonts w:ascii="ITC Stone Sans Std Medium" w:hAnsi="ITC Stone Sans Std Medium" w:cs="Arial"/>
          <w:color w:val="000000"/>
          <w:sz w:val="22"/>
          <w:szCs w:val="22"/>
        </w:rPr>
        <w:t>ior - Assessor Especial do MPOG.</w:t>
      </w:r>
      <w:r w:rsidR="00EB719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97680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</w:t>
      </w:r>
      <w:r w:rsidR="00597680">
        <w:rPr>
          <w:rFonts w:ascii="ITC Stone Sans Std Medium" w:hAnsi="ITC Stone Sans Std Medium" w:cs="Arial"/>
          <w:noProof/>
          <w:sz w:val="22"/>
          <w:szCs w:val="22"/>
        </w:rPr>
        <w:t xml:space="preserve"> dos convidados.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C00A77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C00A77">
        <w:rPr>
          <w:rFonts w:ascii="ITC Stone Sans Std Medium" w:hAnsi="ITC Stone Sans Std Medium" w:cs="Arial"/>
          <w:color w:val="000000"/>
          <w:sz w:val="22"/>
          <w:szCs w:val="22"/>
        </w:rPr>
        <w:t>Moses</w:t>
      </w:r>
      <w:proofErr w:type="spellEnd"/>
      <w:r w:rsidR="00C00A77">
        <w:rPr>
          <w:rFonts w:ascii="ITC Stone Sans Std Medium" w:hAnsi="ITC Stone Sans Std Medium" w:cs="Arial"/>
          <w:color w:val="000000"/>
          <w:sz w:val="22"/>
          <w:szCs w:val="22"/>
        </w:rPr>
        <w:t xml:space="preserve"> Rodrigues e</w:t>
      </w:r>
      <w:r w:rsidR="00F52B5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E04D6F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E04D6F">
        <w:rPr>
          <w:rFonts w:ascii="ITC Stone Sans Std Medium" w:hAnsi="ITC Stone Sans Std Medium" w:cs="Arial"/>
          <w:color w:val="000000"/>
          <w:sz w:val="22"/>
          <w:szCs w:val="22"/>
        </w:rPr>
        <w:t>Átila</w:t>
      </w:r>
      <w:proofErr w:type="spellEnd"/>
      <w:r w:rsidR="00E04D6F">
        <w:rPr>
          <w:rFonts w:ascii="ITC Stone Sans Std Medium" w:hAnsi="ITC Stone Sans Std Medium" w:cs="Arial"/>
          <w:color w:val="000000"/>
          <w:sz w:val="22"/>
          <w:szCs w:val="22"/>
        </w:rPr>
        <w:t xml:space="preserve"> Lira</w:t>
      </w:r>
      <w:r w:rsidR="00C00A77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EB719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0B38A9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0B38A9">
        <w:rPr>
          <w:rFonts w:ascii="ITC Stone Sans Std Medium" w:hAnsi="ITC Stone Sans Std Medium" w:cs="Arial"/>
          <w:sz w:val="22"/>
          <w:szCs w:val="22"/>
        </w:rPr>
        <w:t>vinte e 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597680">
        <w:rPr>
          <w:rFonts w:ascii="ITC Stone Sans Std Medium" w:hAnsi="ITC Stone Sans Std Medium" w:cs="Arial"/>
          <w:bCs/>
          <w:sz w:val="22"/>
          <w:szCs w:val="22"/>
        </w:rPr>
        <w:t>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. </w:t>
      </w:r>
    </w:p>
    <w:p w:rsidR="009B68A6" w:rsidRPr="006D7BE6" w:rsidRDefault="009B68A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68A6" w:rsidRDefault="009B68A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E7276" w:rsidRPr="006D7BE6" w:rsidRDefault="004E727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9B68A6" w:rsidRPr="006D7BE6" w:rsidRDefault="009B68A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68A6" w:rsidRPr="006D7BE6" w:rsidRDefault="009B68A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C247C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C247C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DALIRIO BEBER</w:t>
      </w:r>
    </w:p>
    <w:p w:rsidR="009B68A6" w:rsidRDefault="009B68A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9B68A6" w:rsidRDefault="009B68A6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68A6" w:rsidRDefault="009B68A6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68A6" w:rsidRDefault="009B68A6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CE6764" w:rsidRPr="00A41F57" w:rsidRDefault="00CE6764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CE6764">
        <w:rPr>
          <w:rFonts w:ascii="ITC Stone Sans Std Medium" w:hAnsi="ITC Stone Sans Std Medium" w:cs="Arial"/>
          <w:sz w:val="22"/>
          <w:szCs w:val="22"/>
        </w:rPr>
        <w:t>https://www.youtube.com/watch?v=0L7rANywxVU</w:t>
      </w:r>
    </w:p>
    <w:p w:rsidR="009B68A6" w:rsidRPr="006D7BE6" w:rsidRDefault="009B68A6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9B68A6" w:rsidRPr="006D7BE6" w:rsidSect="009B68A6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65D83"/>
    <w:rsid w:val="00075CBF"/>
    <w:rsid w:val="00080E58"/>
    <w:rsid w:val="0008257E"/>
    <w:rsid w:val="00091883"/>
    <w:rsid w:val="0009261E"/>
    <w:rsid w:val="000A71A0"/>
    <w:rsid w:val="000A7DD0"/>
    <w:rsid w:val="000B2135"/>
    <w:rsid w:val="000B38A9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3509"/>
    <w:rsid w:val="001E533E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D7F15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7276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97680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8329C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B68A6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122E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4A48"/>
    <w:rsid w:val="00AF757F"/>
    <w:rsid w:val="00B02F66"/>
    <w:rsid w:val="00B1368E"/>
    <w:rsid w:val="00B2448E"/>
    <w:rsid w:val="00B31732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00A77"/>
    <w:rsid w:val="00C023D1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6764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04D6F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B719B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52B55"/>
    <w:rsid w:val="00F6560C"/>
    <w:rsid w:val="00F667AE"/>
    <w:rsid w:val="00F66A79"/>
    <w:rsid w:val="00F74412"/>
    <w:rsid w:val="00F74A6D"/>
    <w:rsid w:val="00F87194"/>
    <w:rsid w:val="00F916E0"/>
    <w:rsid w:val="00FA58B0"/>
    <w:rsid w:val="00FB6FD5"/>
    <w:rsid w:val="00FC1633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0E7AB-232B-46A3-9412-B6498B11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E2C583-808B-43A8-8F54-0853B2E6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Tiago Torres de Lima Brum</cp:lastModifiedBy>
  <cp:revision>14</cp:revision>
  <cp:lastPrinted>2012-06-06T19:30:00Z</cp:lastPrinted>
  <dcterms:created xsi:type="dcterms:W3CDTF">2017-09-20T13:39:00Z</dcterms:created>
  <dcterms:modified xsi:type="dcterms:W3CDTF">2017-09-20T19:58:00Z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