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87" w:rsidRDefault="006A4D03">
      <w:r>
        <w:t>Regimento Interno do Senado Federal</w:t>
      </w:r>
    </w:p>
    <w:p w:rsidR="006A4D03" w:rsidRDefault="006A4D03">
      <w:r>
        <w:t>Atribuição específica da Comissão de Assuntos Econômicos - CAE</w:t>
      </w:r>
      <w:bookmarkStart w:id="0" w:name="_GoBack"/>
      <w:bookmarkEnd w:id="0"/>
    </w:p>
    <w:p w:rsidR="006A4D03" w:rsidRDefault="006A4D03"/>
    <w:p w:rsidR="006A4D03" w:rsidRDefault="006A4D03">
      <w:r>
        <w:t>...........................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99-A. </w:t>
      </w:r>
      <w:r>
        <w:t>À Comissão de Assuntos Econômicos compete, ainda, avaliar periodicamente a funcionalidade do Sistema Tributário Nacional, em sua estrutura e seus componentes, e o desempenho das administrações tributárias da União, dos Estados, do Distrito Federal e dos Municípios.</w:t>
      </w:r>
    </w:p>
    <w:p w:rsidR="006A4D03" w:rsidRDefault="006A4D03">
      <w:r>
        <w:t>............................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393-A. </w:t>
      </w:r>
      <w:r>
        <w:t>A avaliação de que trata o art. 99-A será realizada anualmente por grupo de Senadores da Comissão de Assuntos Econômicos designados pelo Presidente da Comissão.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393-B. </w:t>
      </w:r>
      <w:r>
        <w:t>Para atender aos objetivos da avaliação prevista no art. 52, XV, da Constituição Federal, o Senado poderá solicitar informações e documentos à União, aos Estados, ao Distrito Federal e aos Municípios, compreendidos os três Poderes e os órgãos e entidades da administração direta e indireta, além do Conselho Nacional de Política Fazendária (Confaz) e de outras instituições da sociedade organizada.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393-C. </w:t>
      </w:r>
      <w:r>
        <w:t>Serão observados os seguintes prazos nos trabalhos de avaliação periódica do Sistema Tributário Nacional: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 - </w:t>
      </w:r>
      <w:proofErr w:type="gramStart"/>
      <w:r>
        <w:t>para</w:t>
      </w:r>
      <w:proofErr w:type="gramEnd"/>
      <w:r>
        <w:t xml:space="preserve"> recebimento de documentos e informações, até 15 de março;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II - </w:t>
      </w:r>
      <w:proofErr w:type="gramStart"/>
      <w:r>
        <w:t>para</w:t>
      </w:r>
      <w:proofErr w:type="gramEnd"/>
      <w:r>
        <w:t xml:space="preserve"> realização de audiências públicas, até 30 de abril;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III - para apresentação do relatório final, até 30 de junho.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Parágrafo único. Os prazos estabelecidos no </w:t>
      </w:r>
      <w:r>
        <w:rPr>
          <w:i/>
          <w:iCs/>
        </w:rPr>
        <w:t xml:space="preserve">caput </w:t>
      </w:r>
      <w:r>
        <w:t>deste artigo poderão ser modificados por deliberação da Comissão de Assuntos Econômicos.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393-D. </w:t>
      </w:r>
      <w:r>
        <w:t>A funcionalidade do Sistema Tributário Nacional será avaliada considerando-se, entre outros, os seguintes aspectos: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 - </w:t>
      </w:r>
      <w:proofErr w:type="gramStart"/>
      <w:r>
        <w:t>complexidade e qualidade</w:t>
      </w:r>
      <w:proofErr w:type="gramEnd"/>
      <w:r>
        <w:t xml:space="preserve"> da legislação;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II - </w:t>
      </w:r>
      <w:proofErr w:type="gramStart"/>
      <w:r>
        <w:t>custos</w:t>
      </w:r>
      <w:proofErr w:type="gramEnd"/>
      <w:r>
        <w:t xml:space="preserve"> de conformidade à normatização tributária;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III - qualidade dos tributos, especialmente quanto: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a) </w:t>
      </w:r>
      <w:r>
        <w:t>à justiça fiscal;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b) </w:t>
      </w:r>
      <w:r>
        <w:t>ao atendimento aos princípios constitucionais tributários;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c) </w:t>
      </w:r>
      <w:r>
        <w:t>ao atendimento às necessidades orçamentárias;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d) </w:t>
      </w:r>
      <w:r>
        <w:t>ao custo das obrigações acessórias;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IV - </w:t>
      </w:r>
      <w:proofErr w:type="gramStart"/>
      <w:r>
        <w:t>carga</w:t>
      </w:r>
      <w:proofErr w:type="gramEnd"/>
      <w:r>
        <w:t xml:space="preserve"> tributária;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V - </w:t>
      </w:r>
      <w:proofErr w:type="gramStart"/>
      <w:r>
        <w:t>equilíbrio</w:t>
      </w:r>
      <w:proofErr w:type="gramEnd"/>
      <w:r>
        <w:t xml:space="preserve"> federativo, especialmente quanto: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a) </w:t>
      </w:r>
      <w:r>
        <w:t>à participação da União, dos Estados, do Distrito Federal e dos Municípios no total da receita tributária, antes e depois das transferências constitucionais e legais;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i/>
          <w:iCs/>
        </w:rPr>
        <w:t xml:space="preserve">b) </w:t>
      </w:r>
      <w:r>
        <w:t>à participação das transferências constitucionais e legais na receita tributária dos entes federados;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VI - </w:t>
      </w:r>
      <w:proofErr w:type="gramStart"/>
      <w:r>
        <w:t>renúncias</w:t>
      </w:r>
      <w:proofErr w:type="gramEnd"/>
      <w:r>
        <w:t xml:space="preserve"> fiscais;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VII - harmonização normativa;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VIII - redução das desigualdades regionais;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IX - </w:t>
      </w:r>
      <w:proofErr w:type="gramStart"/>
      <w:r>
        <w:t>compatibilidade</w:t>
      </w:r>
      <w:proofErr w:type="gramEnd"/>
      <w:r>
        <w:t xml:space="preserve"> com a legislação de outros países ou blocos econômicos.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Parágrafo único. As Consultorias do Senado Federal elaborarão estudos e pareceres </w:t>
      </w:r>
      <w:r>
        <w:lastRenderedPageBreak/>
        <w:t>técnicos que subsidiarão os trabalhos de avaliação periódica do Sistema Tributário Nacional.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393-E. </w:t>
      </w:r>
      <w:r>
        <w:t>O desempenho das administrações tributárias da União, dos Estados, do Distrito Federal e dos Municípios será avaliado considerando-se, entre outros, os seguintes aspectos: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 - </w:t>
      </w:r>
      <w:proofErr w:type="gramStart"/>
      <w:r>
        <w:t>relação</w:t>
      </w:r>
      <w:proofErr w:type="gramEnd"/>
      <w:r>
        <w:t xml:space="preserve"> entre o custo da administração e o montante arrecadado;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II - </w:t>
      </w:r>
      <w:proofErr w:type="gramStart"/>
      <w:r>
        <w:t>exercício</w:t>
      </w:r>
      <w:proofErr w:type="gramEnd"/>
      <w:r>
        <w:t xml:space="preserve"> efetivo das competências tributárias pelos entes federados;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III - desempenho da fiscalização;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IV - </w:t>
      </w:r>
      <w:proofErr w:type="gramStart"/>
      <w:r>
        <w:t>relação</w:t>
      </w:r>
      <w:proofErr w:type="gramEnd"/>
      <w:r>
        <w:t xml:space="preserve"> entre pagamento espontâneo e coercitivo dos tributos;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V - </w:t>
      </w:r>
      <w:proofErr w:type="gramStart"/>
      <w:r>
        <w:t>desempenho</w:t>
      </w:r>
      <w:proofErr w:type="gramEnd"/>
      <w:r>
        <w:t xml:space="preserve"> da cobrança judicial e extrajudicial da dívida ativa tributária;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VI - </w:t>
      </w:r>
      <w:proofErr w:type="gramStart"/>
      <w:r>
        <w:t>efetividade</w:t>
      </w:r>
      <w:proofErr w:type="gramEnd"/>
      <w:r>
        <w:t xml:space="preserve"> dos programas de recuperação fiscal, especialmente quanto a parcelamento, anistia e remissão;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VII - grau de integração das administrações tributárias;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VIII - gastos e resultados com educação fiscal;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IX - </w:t>
      </w:r>
      <w:proofErr w:type="gramStart"/>
      <w:r>
        <w:t>qualidade</w:t>
      </w:r>
      <w:proofErr w:type="gramEnd"/>
      <w:r>
        <w:t xml:space="preserve"> do atendimento ao contribuinte;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 xml:space="preserve">X - </w:t>
      </w:r>
      <w:proofErr w:type="gramStart"/>
      <w:r>
        <w:t>grau</w:t>
      </w:r>
      <w:proofErr w:type="gramEnd"/>
      <w:r>
        <w:t xml:space="preserve"> de informalidade da economia.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rPr>
          <w:b/>
          <w:bCs/>
        </w:rPr>
        <w:t xml:space="preserve">Art. 393-F. </w:t>
      </w:r>
      <w:r>
        <w:t>O grupo de Senadores de que trata o art. 393-A elaborará relatório conclusivo, que será submetido à deliberação do Plenário da Comissão de Assuntos Econômicos, em caráter terminativo.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§ 1º</w:t>
      </w:r>
      <w:r>
        <w:rPr>
          <w:sz w:val="15"/>
          <w:szCs w:val="15"/>
        </w:rPr>
        <w:t xml:space="preserve"> </w:t>
      </w:r>
      <w:r>
        <w:t>Cópia integral do relatório aprovado será enviada ao Presidente da República, à Câmara dos Deputados, aos Governadores dos Estados e do Distrito Federal, às Assembleias Legislativas Estaduais, à Câmara Legislativa do Distrito Federal e aos Tribunais de Contas.</w:t>
      </w:r>
    </w:p>
    <w:p w:rsidR="006A4D03" w:rsidRDefault="006A4D03" w:rsidP="006A4D03">
      <w:pPr>
        <w:widowControl w:val="0"/>
        <w:autoSpaceDE w:val="0"/>
        <w:autoSpaceDN w:val="0"/>
        <w:adjustRightInd w:val="0"/>
        <w:ind w:firstLine="567"/>
      </w:pPr>
      <w:r>
        <w:t>§ 2º</w:t>
      </w:r>
      <w:r>
        <w:rPr>
          <w:sz w:val="15"/>
          <w:szCs w:val="15"/>
        </w:rPr>
        <w:t xml:space="preserve"> </w:t>
      </w:r>
      <w:r>
        <w:t>Resumo executivo com as principais conclusões será enviado aos Municípios.</w:t>
      </w:r>
    </w:p>
    <w:p w:rsidR="006A4D03" w:rsidRDefault="006A4D03"/>
    <w:sectPr w:rsidR="006A4D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03"/>
    <w:rsid w:val="006A4D03"/>
    <w:rsid w:val="00BC203C"/>
    <w:rsid w:val="00F4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A6F5-402E-4E35-9D33-FF8CAE19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D03"/>
    <w:pPr>
      <w:spacing w:after="120" w:line="240" w:lineRule="atLeast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3346</Characters>
  <Application>Microsoft Office Word</Application>
  <DocSecurity>0</DocSecurity>
  <Lines>27</Lines>
  <Paragraphs>7</Paragraphs>
  <ScaleCrop>false</ScaleCrop>
  <Company>Senado Federal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Alexandre Girao Mota da Silva</dc:creator>
  <cp:keywords/>
  <dc:description/>
  <cp:lastModifiedBy>José Alexandre Girao Mota da Silva</cp:lastModifiedBy>
  <cp:revision>1</cp:revision>
  <cp:lastPrinted>2017-09-22T13:19:00Z</cp:lastPrinted>
  <dcterms:created xsi:type="dcterms:W3CDTF">2017-09-22T13:15:00Z</dcterms:created>
  <dcterms:modified xsi:type="dcterms:W3CDTF">2017-09-22T13:19:00Z</dcterms:modified>
</cp:coreProperties>
</file>